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3B3F" w14:textId="77777777" w:rsidR="00EB0BAE" w:rsidRPr="0075262C" w:rsidRDefault="00EB0BAE" w:rsidP="006C3EF7">
      <w:pPr>
        <w:tabs>
          <w:tab w:val="left" w:pos="851"/>
        </w:tabs>
        <w:jc w:val="both"/>
        <w:rPr>
          <w:rFonts w:ascii="Arial" w:eastAsia="Arial" w:hAnsi="Arial" w:cs="Arial"/>
          <w:sz w:val="22"/>
          <w:szCs w:val="22"/>
          <w:lang w:bidi="pt-BR"/>
        </w:rPr>
      </w:pPr>
    </w:p>
    <w:p w14:paraId="06EA3AC9" w14:textId="77777777" w:rsidR="00A56528" w:rsidRPr="00FB45E7" w:rsidRDefault="00A56528" w:rsidP="00A56528">
      <w:pPr>
        <w:pStyle w:val="GenStyleDefPar"/>
        <w:rPr>
          <w:rFonts w:ascii="Arial"/>
          <w:sz w:val="22"/>
        </w:rPr>
      </w:pPr>
    </w:p>
    <w:p w14:paraId="62DDE3F8" w14:textId="7B588614" w:rsidR="00A56528" w:rsidRPr="00FB45E7" w:rsidRDefault="00D0463D" w:rsidP="00A56528">
      <w:pPr>
        <w:pStyle w:val="GenStyleDefPar"/>
        <w:rPr>
          <w:rFonts w:ascii="Arial"/>
          <w:bCs/>
          <w:sz w:val="22"/>
        </w:rPr>
      </w:pPr>
      <w:r>
        <w:rPr>
          <w:rFonts w:ascii="Arial"/>
          <w:bCs/>
          <w:sz w:val="22"/>
        </w:rPr>
        <w:t>Orientação Técnica CGE n</w:t>
      </w:r>
      <w:r w:rsidR="00A56528" w:rsidRPr="00FB45E7">
        <w:rPr>
          <w:rFonts w:ascii="Arial"/>
          <w:bCs/>
          <w:sz w:val="22"/>
        </w:rPr>
        <w:t>º 0</w:t>
      </w:r>
      <w:r w:rsidR="008510FA">
        <w:rPr>
          <w:rFonts w:ascii="Arial"/>
          <w:bCs/>
          <w:sz w:val="22"/>
        </w:rPr>
        <w:t>001</w:t>
      </w:r>
      <w:r w:rsidR="00A56528" w:rsidRPr="00FB45E7">
        <w:rPr>
          <w:rFonts w:ascii="Arial"/>
          <w:bCs/>
          <w:sz w:val="22"/>
        </w:rPr>
        <w:t>/20</w:t>
      </w:r>
      <w:r w:rsidR="00E66EA8">
        <w:rPr>
          <w:rFonts w:ascii="Arial"/>
          <w:bCs/>
          <w:sz w:val="22"/>
        </w:rPr>
        <w:t xml:space="preserve">25   </w:t>
      </w:r>
      <w:r w:rsidR="00A56528" w:rsidRPr="00FB45E7">
        <w:rPr>
          <w:rFonts w:ascii="Arial"/>
          <w:bCs/>
          <w:sz w:val="22"/>
        </w:rPr>
        <w:t xml:space="preserve"> </w:t>
      </w:r>
      <w:r w:rsidR="00AD3E63">
        <w:rPr>
          <w:rFonts w:ascii="Arial"/>
          <w:bCs/>
          <w:sz w:val="22"/>
        </w:rPr>
        <w:t xml:space="preserve">                          </w:t>
      </w:r>
      <w:r w:rsidR="00AD3E63" w:rsidRPr="00523AF4">
        <w:rPr>
          <w:rFonts w:ascii="Arial"/>
          <w:sz w:val="22"/>
        </w:rPr>
        <w:t xml:space="preserve">Florianópolis, </w:t>
      </w:r>
      <w:r w:rsidR="00F71007">
        <w:rPr>
          <w:rFonts w:ascii="Arial"/>
          <w:sz w:val="22"/>
        </w:rPr>
        <w:t>17 de fevereiro de 2025</w:t>
      </w:r>
      <w:r w:rsidR="00AD3E63" w:rsidRPr="00523AF4">
        <w:rPr>
          <w:rFonts w:ascii="Arial"/>
          <w:sz w:val="22"/>
        </w:rPr>
        <w:t>.</w:t>
      </w:r>
    </w:p>
    <w:p w14:paraId="757F8EB6" w14:textId="77777777" w:rsidR="00A56528" w:rsidRPr="00FB45E7" w:rsidRDefault="00A56528" w:rsidP="00A56528">
      <w:pPr>
        <w:pStyle w:val="GenStyleDefPar"/>
        <w:rPr>
          <w:rFonts w:ascii="Arial"/>
          <w:bCs/>
          <w:sz w:val="22"/>
        </w:rPr>
      </w:pPr>
    </w:p>
    <w:p w14:paraId="3992D25B" w14:textId="421F0517" w:rsidR="00A56528" w:rsidRPr="00FB45E7" w:rsidRDefault="00A56528" w:rsidP="00A56528">
      <w:pPr>
        <w:pStyle w:val="GenStyleDefPar"/>
        <w:rPr>
          <w:rFonts w:ascii="Arial"/>
          <w:color w:val="4472C4" w:themeColor="accent5"/>
          <w:sz w:val="22"/>
        </w:rPr>
      </w:pPr>
    </w:p>
    <w:p w14:paraId="509CB8CF" w14:textId="77777777" w:rsidR="00A56528" w:rsidRPr="00FB45E7" w:rsidRDefault="00A56528" w:rsidP="00A56528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276ACF8B" w14:textId="77777777" w:rsidR="00A56528" w:rsidRPr="00FB45E7" w:rsidRDefault="00A56528" w:rsidP="00A56528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47A8C204" w14:textId="4BC393E1" w:rsidR="00A56528" w:rsidRPr="00FB45E7" w:rsidRDefault="00A56528" w:rsidP="00BA1B04">
      <w:pPr>
        <w:tabs>
          <w:tab w:val="left" w:pos="180"/>
          <w:tab w:val="left" w:pos="4536"/>
        </w:tabs>
        <w:ind w:left="4536"/>
        <w:jc w:val="both"/>
        <w:rPr>
          <w:rFonts w:ascii="Arial" w:hAnsi="Arial" w:cs="Arial"/>
          <w:sz w:val="22"/>
          <w:szCs w:val="22"/>
        </w:rPr>
      </w:pPr>
      <w:r w:rsidRPr="00FB45E7">
        <w:rPr>
          <w:rFonts w:ascii="Arial" w:hAnsi="Arial" w:cs="Arial"/>
          <w:sz w:val="22"/>
          <w:szCs w:val="22"/>
        </w:rPr>
        <w:t xml:space="preserve">Referência: Orientação Técnica da Controladoria-Geral do Estado </w:t>
      </w:r>
      <w:r w:rsidR="007E2076">
        <w:rPr>
          <w:rFonts w:ascii="Arial" w:hAnsi="Arial" w:cs="Arial"/>
          <w:sz w:val="22"/>
          <w:szCs w:val="22"/>
        </w:rPr>
        <w:t>a res</w:t>
      </w:r>
      <w:r w:rsidR="006D4BC5">
        <w:rPr>
          <w:rFonts w:ascii="Arial" w:hAnsi="Arial" w:cs="Arial"/>
          <w:sz w:val="22"/>
          <w:szCs w:val="22"/>
        </w:rPr>
        <w:t xml:space="preserve">peito da </w:t>
      </w:r>
      <w:r w:rsidR="00AF480D" w:rsidRPr="00AF480D">
        <w:rPr>
          <w:rFonts w:ascii="Arial" w:hAnsi="Arial" w:cs="Arial"/>
          <w:sz w:val="22"/>
          <w:szCs w:val="22"/>
        </w:rPr>
        <w:t xml:space="preserve">situação da prestação de contas no SIGEF, </w:t>
      </w:r>
      <w:r w:rsidR="00A91B93">
        <w:rPr>
          <w:rFonts w:ascii="Arial" w:hAnsi="Arial" w:cs="Arial"/>
          <w:sz w:val="22"/>
          <w:szCs w:val="22"/>
        </w:rPr>
        <w:t>havendo solicitação de parcelamento do débito, após inscrição em dívida ativa.</w:t>
      </w:r>
      <w:r w:rsidR="00BA1B04">
        <w:rPr>
          <w:rFonts w:ascii="Arial" w:hAnsi="Arial" w:cs="Arial"/>
          <w:sz w:val="22"/>
          <w:szCs w:val="22"/>
        </w:rPr>
        <w:t xml:space="preserve"> </w:t>
      </w:r>
      <w:r w:rsidRPr="00FB45E7">
        <w:rPr>
          <w:rFonts w:ascii="Arial" w:hAnsi="Arial" w:cs="Arial"/>
          <w:sz w:val="22"/>
          <w:szCs w:val="22"/>
        </w:rPr>
        <w:t xml:space="preserve">Processo </w:t>
      </w:r>
      <w:r w:rsidR="00164981" w:rsidRPr="00164981">
        <w:rPr>
          <w:rFonts w:ascii="Arial" w:eastAsia="Arial" w:hAnsi="Arial" w:cs="Arial"/>
          <w:sz w:val="22"/>
          <w:szCs w:val="22"/>
        </w:rPr>
        <w:t>CGE 00000105/2025</w:t>
      </w:r>
      <w:r w:rsidR="006D09AF">
        <w:rPr>
          <w:rFonts w:ascii="Arial" w:hAnsi="Arial" w:cs="Arial"/>
          <w:sz w:val="22"/>
          <w:szCs w:val="22"/>
        </w:rPr>
        <w:t>.</w:t>
      </w:r>
    </w:p>
    <w:p w14:paraId="3027E7F9" w14:textId="1C0148C4" w:rsidR="00A56528" w:rsidRPr="004E51FC" w:rsidRDefault="00A56528" w:rsidP="004E51FC">
      <w:pPr>
        <w:pStyle w:val="GenStyleDefPar"/>
        <w:rPr>
          <w:rFonts w:ascii="Arial"/>
          <w:sz w:val="22"/>
        </w:rPr>
      </w:pPr>
    </w:p>
    <w:p w14:paraId="05FB111B" w14:textId="77777777" w:rsidR="00A56528" w:rsidRPr="00FB45E7" w:rsidRDefault="00A56528" w:rsidP="004E51FC">
      <w:pPr>
        <w:pStyle w:val="GenStyleDefPar"/>
        <w:rPr>
          <w:rFonts w:ascii="Arial"/>
          <w:bCs/>
          <w:sz w:val="22"/>
        </w:rPr>
      </w:pPr>
    </w:p>
    <w:p w14:paraId="0BCBDD87" w14:textId="2AC42674" w:rsidR="006519A4" w:rsidRDefault="006519A4" w:rsidP="004E51FC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26FE37AC" w14:textId="77777777" w:rsidR="00A56528" w:rsidRPr="00FB45E7" w:rsidRDefault="00A56528" w:rsidP="004E51FC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01AA7ABC" w14:textId="13ABB25B" w:rsidR="00A61D6A" w:rsidRDefault="00A56528" w:rsidP="00AD3001">
      <w:pPr>
        <w:spacing w:before="120" w:after="120"/>
        <w:ind w:firstLine="851"/>
        <w:jc w:val="both"/>
        <w:rPr>
          <w:rFonts w:ascii="Arial" w:hAnsi="Arial" w:cs="Arial"/>
          <w:sz w:val="22"/>
          <w:szCs w:val="22"/>
        </w:rPr>
      </w:pPr>
      <w:r w:rsidRPr="00FB45E7">
        <w:rPr>
          <w:rFonts w:ascii="Arial" w:hAnsi="Arial" w:cs="Arial"/>
          <w:sz w:val="22"/>
          <w:szCs w:val="22"/>
        </w:rPr>
        <w:t xml:space="preserve">A Controladoria-Geral do Estado </w:t>
      </w:r>
      <w:r w:rsidR="007E2076">
        <w:rPr>
          <w:rFonts w:ascii="Arial" w:hAnsi="Arial" w:cs="Arial"/>
          <w:sz w:val="22"/>
          <w:szCs w:val="22"/>
        </w:rPr>
        <w:t>(</w:t>
      </w:r>
      <w:r w:rsidRPr="00FB45E7">
        <w:rPr>
          <w:rFonts w:ascii="Arial" w:hAnsi="Arial" w:cs="Arial"/>
          <w:sz w:val="22"/>
          <w:szCs w:val="22"/>
        </w:rPr>
        <w:t>CGE</w:t>
      </w:r>
      <w:r w:rsidR="007E2076">
        <w:rPr>
          <w:rFonts w:ascii="Arial" w:hAnsi="Arial" w:cs="Arial"/>
          <w:sz w:val="22"/>
          <w:szCs w:val="22"/>
        </w:rPr>
        <w:t>)</w:t>
      </w:r>
      <w:r w:rsidRPr="00FB45E7">
        <w:rPr>
          <w:rFonts w:ascii="Arial" w:hAnsi="Arial" w:cs="Arial"/>
          <w:sz w:val="22"/>
          <w:szCs w:val="22"/>
        </w:rPr>
        <w:t xml:space="preserve">, </w:t>
      </w:r>
      <w:r w:rsidRPr="00FB45E7">
        <w:rPr>
          <w:rFonts w:ascii="Arial" w:hAnsi="Arial" w:cs="Arial"/>
          <w:bCs/>
          <w:sz w:val="22"/>
          <w:szCs w:val="22"/>
        </w:rPr>
        <w:t xml:space="preserve">por meio da Gerência </w:t>
      </w:r>
      <w:r w:rsidRPr="006D09AF">
        <w:rPr>
          <w:rFonts w:ascii="Arial" w:hAnsi="Arial" w:cs="Arial"/>
          <w:bCs/>
          <w:sz w:val="22"/>
          <w:szCs w:val="22"/>
        </w:rPr>
        <w:t xml:space="preserve">de </w:t>
      </w:r>
      <w:r w:rsidR="006D09AF" w:rsidRPr="006D09AF">
        <w:rPr>
          <w:rFonts w:ascii="Arial" w:hAnsi="Arial" w:cs="Arial"/>
          <w:bCs/>
          <w:sz w:val="22"/>
          <w:szCs w:val="22"/>
        </w:rPr>
        <w:t>Recursos Antecipados</w:t>
      </w:r>
      <w:r w:rsidRPr="00FB45E7">
        <w:rPr>
          <w:rFonts w:ascii="Arial" w:hAnsi="Arial" w:cs="Arial"/>
          <w:bCs/>
          <w:sz w:val="22"/>
          <w:szCs w:val="22"/>
        </w:rPr>
        <w:t xml:space="preserve">, </w:t>
      </w:r>
      <w:r w:rsidRPr="00FB45E7">
        <w:rPr>
          <w:rFonts w:ascii="Arial" w:eastAsia="Arial" w:hAnsi="Arial" w:cs="Arial"/>
          <w:sz w:val="22"/>
          <w:szCs w:val="22"/>
          <w:highlight w:val="white"/>
        </w:rPr>
        <w:t>com base nos artigos 58 e 62 da Constituição Estadual, e de acordo com as atribuições previstas no parágrafo único do artigo 25 da Lei Complementar nº 741/2019</w:t>
      </w:r>
      <w:r w:rsidR="00AD706C">
        <w:rPr>
          <w:rFonts w:ascii="Arial" w:hAnsi="Arial" w:cs="Arial"/>
          <w:sz w:val="22"/>
          <w:szCs w:val="22"/>
        </w:rPr>
        <w:t xml:space="preserve"> </w:t>
      </w:r>
      <w:r w:rsidR="00AD706C" w:rsidRPr="007E2076">
        <w:rPr>
          <w:rFonts w:ascii="Arial" w:hAnsi="Arial" w:cs="Arial"/>
          <w:sz w:val="22"/>
          <w:szCs w:val="22"/>
        </w:rPr>
        <w:t>e</w:t>
      </w:r>
      <w:r w:rsidR="00CA236D">
        <w:rPr>
          <w:rFonts w:ascii="Arial" w:hAnsi="Arial" w:cs="Arial"/>
          <w:sz w:val="22"/>
          <w:szCs w:val="22"/>
        </w:rPr>
        <w:t>:</w:t>
      </w:r>
    </w:p>
    <w:p w14:paraId="04332916" w14:textId="7ACB9282" w:rsidR="00A61D6A" w:rsidRPr="000C46F9" w:rsidRDefault="00A61D6A">
      <w:pPr>
        <w:spacing w:before="120" w:after="120"/>
        <w:ind w:firstLine="851"/>
        <w:jc w:val="both"/>
        <w:rPr>
          <w:rFonts w:ascii="Arial" w:hAnsi="Arial" w:cs="Arial"/>
          <w:sz w:val="22"/>
          <w:szCs w:val="22"/>
        </w:rPr>
      </w:pPr>
      <w:r w:rsidRPr="000C46F9">
        <w:rPr>
          <w:rFonts w:ascii="Arial" w:hAnsi="Arial" w:cs="Arial"/>
          <w:sz w:val="22"/>
          <w:szCs w:val="22"/>
        </w:rPr>
        <w:t xml:space="preserve">Considerando as frequentes dúvidas de órgãos e entidades da Administração Pública Estadual quanto </w:t>
      </w:r>
      <w:r w:rsidR="003B58A0" w:rsidRPr="000C46F9">
        <w:rPr>
          <w:rFonts w:ascii="Arial" w:hAnsi="Arial" w:cs="Arial"/>
          <w:sz w:val="22"/>
          <w:szCs w:val="22"/>
        </w:rPr>
        <w:t xml:space="preserve">à situação das prestações de contas no Sistema Integrado de Planejamento e Gestão Fiscal (SIGEF), </w:t>
      </w:r>
      <w:r w:rsidR="00A91B93">
        <w:rPr>
          <w:rFonts w:ascii="Arial" w:hAnsi="Arial" w:cs="Arial"/>
          <w:sz w:val="22"/>
          <w:szCs w:val="22"/>
        </w:rPr>
        <w:t>havendo</w:t>
      </w:r>
      <w:r w:rsidR="002A59C2">
        <w:rPr>
          <w:rFonts w:ascii="Arial" w:hAnsi="Arial" w:cs="Arial"/>
          <w:sz w:val="22"/>
          <w:szCs w:val="22"/>
        </w:rPr>
        <w:t xml:space="preserve"> </w:t>
      </w:r>
      <w:r w:rsidR="0056658C">
        <w:rPr>
          <w:rFonts w:ascii="Arial" w:hAnsi="Arial" w:cs="Arial"/>
          <w:sz w:val="22"/>
          <w:szCs w:val="22"/>
        </w:rPr>
        <w:t xml:space="preserve">solicitação </w:t>
      </w:r>
      <w:r w:rsidR="003B58A0" w:rsidRPr="000C46F9">
        <w:rPr>
          <w:rFonts w:ascii="Arial" w:hAnsi="Arial" w:cs="Arial"/>
          <w:sz w:val="22"/>
          <w:szCs w:val="22"/>
        </w:rPr>
        <w:t>de parcelamento</w:t>
      </w:r>
      <w:r w:rsidR="0056658C">
        <w:rPr>
          <w:rFonts w:ascii="Arial" w:hAnsi="Arial" w:cs="Arial"/>
          <w:sz w:val="22"/>
          <w:szCs w:val="22"/>
        </w:rPr>
        <w:t xml:space="preserve"> do débito, após</w:t>
      </w:r>
      <w:r w:rsidR="002A59C2">
        <w:rPr>
          <w:rFonts w:ascii="Arial" w:hAnsi="Arial" w:cs="Arial"/>
          <w:sz w:val="22"/>
          <w:szCs w:val="22"/>
        </w:rPr>
        <w:t xml:space="preserve"> inscrição em dívida ativa</w:t>
      </w:r>
      <w:r w:rsidR="00CA236D">
        <w:rPr>
          <w:rFonts w:ascii="Arial" w:hAnsi="Arial" w:cs="Arial"/>
          <w:sz w:val="22"/>
          <w:szCs w:val="22"/>
        </w:rPr>
        <w:t>;</w:t>
      </w:r>
    </w:p>
    <w:p w14:paraId="3D1FA93B" w14:textId="5906676E" w:rsidR="00A56528" w:rsidRPr="00725992" w:rsidRDefault="00A61D6A">
      <w:pPr>
        <w:spacing w:before="120" w:after="12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A56528" w:rsidRPr="00FB45E7">
        <w:rPr>
          <w:rFonts w:ascii="Arial" w:hAnsi="Arial" w:cs="Arial"/>
          <w:sz w:val="22"/>
          <w:szCs w:val="22"/>
        </w:rPr>
        <w:t xml:space="preserve">rienta os órgãos e entidades sobre os procedimentos a serem adotados </w:t>
      </w:r>
      <w:r w:rsidR="00A56528" w:rsidRPr="00725992">
        <w:rPr>
          <w:rFonts w:ascii="Arial" w:hAnsi="Arial" w:cs="Arial"/>
          <w:sz w:val="22"/>
          <w:szCs w:val="22"/>
        </w:rPr>
        <w:t>visando</w:t>
      </w:r>
      <w:r w:rsidR="00CE27B5" w:rsidRPr="00725992">
        <w:rPr>
          <w:rFonts w:ascii="Arial" w:hAnsi="Arial" w:cs="Arial"/>
          <w:sz w:val="22"/>
          <w:szCs w:val="22"/>
        </w:rPr>
        <w:t xml:space="preserve"> </w:t>
      </w:r>
      <w:r w:rsidR="00CE3419">
        <w:rPr>
          <w:rFonts w:ascii="Arial" w:hAnsi="Arial" w:cs="Arial"/>
          <w:sz w:val="22"/>
          <w:szCs w:val="22"/>
        </w:rPr>
        <w:t xml:space="preserve">à </w:t>
      </w:r>
      <w:r w:rsidR="002A6C1D">
        <w:rPr>
          <w:rFonts w:ascii="Arial" w:hAnsi="Arial" w:cs="Arial"/>
          <w:sz w:val="22"/>
          <w:szCs w:val="22"/>
        </w:rPr>
        <w:t xml:space="preserve">padronização </w:t>
      </w:r>
      <w:r w:rsidR="000C46F9">
        <w:rPr>
          <w:rFonts w:ascii="Arial" w:hAnsi="Arial" w:cs="Arial"/>
          <w:sz w:val="22"/>
          <w:szCs w:val="22"/>
        </w:rPr>
        <w:t>das ações no sistema e o cumprimento da legislação</w:t>
      </w:r>
      <w:r w:rsidR="00A56528" w:rsidRPr="00725992">
        <w:rPr>
          <w:rFonts w:ascii="Arial" w:hAnsi="Arial" w:cs="Arial"/>
          <w:sz w:val="22"/>
          <w:szCs w:val="22"/>
        </w:rPr>
        <w:t>.</w:t>
      </w:r>
    </w:p>
    <w:p w14:paraId="5DF50B85" w14:textId="0DC6375D" w:rsidR="005656CA" w:rsidRPr="00BF635C" w:rsidRDefault="00883E23" w:rsidP="00BF635C">
      <w:pPr>
        <w:ind w:firstLine="851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F635C">
        <w:rPr>
          <w:rFonts w:ascii="Arial" w:hAnsi="Arial" w:cs="Arial"/>
          <w:sz w:val="22"/>
          <w:szCs w:val="22"/>
        </w:rPr>
        <w:t xml:space="preserve">1 </w:t>
      </w:r>
      <w:r w:rsidR="00BA1B04" w:rsidRPr="00BF635C">
        <w:rPr>
          <w:rFonts w:ascii="Arial" w:hAnsi="Arial" w:cs="Arial"/>
          <w:sz w:val="22"/>
          <w:szCs w:val="22"/>
        </w:rPr>
        <w:t>Segue a</w:t>
      </w:r>
      <w:r w:rsidR="00CD4158" w:rsidRPr="00BF635C">
        <w:rPr>
          <w:rFonts w:ascii="Arial" w:hAnsi="Arial" w:cs="Arial"/>
          <w:sz w:val="22"/>
          <w:szCs w:val="22"/>
        </w:rPr>
        <w:t xml:space="preserve"> dúvida</w:t>
      </w:r>
      <w:r w:rsidR="00804162" w:rsidRPr="00BF635C">
        <w:rPr>
          <w:rFonts w:ascii="Arial" w:hAnsi="Arial" w:cs="Arial"/>
          <w:sz w:val="22"/>
          <w:szCs w:val="22"/>
        </w:rPr>
        <w:t xml:space="preserve"> ser esclarecida</w:t>
      </w:r>
      <w:r w:rsidR="00BF635C" w:rsidRPr="00BF635C">
        <w:rPr>
          <w:rFonts w:ascii="Arial" w:hAnsi="Arial" w:cs="Arial"/>
          <w:sz w:val="22"/>
          <w:szCs w:val="22"/>
        </w:rPr>
        <w:t xml:space="preserve">: </w:t>
      </w:r>
      <w:r w:rsidR="00BF635C" w:rsidRPr="00BF635C">
        <w:rPr>
          <w:rFonts w:ascii="Arial" w:hAnsi="Arial" w:cs="Arial"/>
          <w:bCs/>
          <w:color w:val="000000"/>
          <w:sz w:val="22"/>
          <w:szCs w:val="22"/>
        </w:rPr>
        <w:t>“</w:t>
      </w:r>
      <w:r w:rsidR="00321ABA" w:rsidRPr="00BF635C">
        <w:rPr>
          <w:rFonts w:ascii="Arial" w:hAnsi="Arial" w:cs="Arial"/>
          <w:bCs/>
          <w:color w:val="000000"/>
          <w:sz w:val="22"/>
          <w:szCs w:val="22"/>
        </w:rPr>
        <w:t>A prestação</w:t>
      </w:r>
      <w:r w:rsidR="005656CA" w:rsidRPr="00BF635C">
        <w:rPr>
          <w:rFonts w:ascii="Arial" w:hAnsi="Arial" w:cs="Arial"/>
          <w:bCs/>
          <w:color w:val="000000"/>
          <w:sz w:val="22"/>
          <w:szCs w:val="22"/>
        </w:rPr>
        <w:t xml:space="preserve"> de contas deve ser baixada como </w:t>
      </w:r>
      <w:r w:rsidR="006A1F46" w:rsidRPr="00BF635C">
        <w:rPr>
          <w:rFonts w:ascii="Arial" w:hAnsi="Arial" w:cs="Arial"/>
          <w:bCs/>
          <w:color w:val="000000"/>
          <w:sz w:val="22"/>
          <w:szCs w:val="22"/>
        </w:rPr>
        <w:t>regular com</w:t>
      </w:r>
      <w:r w:rsidR="005656CA" w:rsidRPr="00BF635C">
        <w:rPr>
          <w:rFonts w:ascii="Arial" w:hAnsi="Arial" w:cs="Arial"/>
          <w:bCs/>
          <w:color w:val="000000"/>
          <w:sz w:val="22"/>
          <w:szCs w:val="22"/>
        </w:rPr>
        <w:t xml:space="preserve"> ressalvas tão logo for concedido parcelamento ou apenas no término do pagamento das parcelas?</w:t>
      </w:r>
      <w:r w:rsidR="00BF635C" w:rsidRPr="00BF635C">
        <w:rPr>
          <w:rFonts w:ascii="Arial" w:hAnsi="Arial" w:cs="Arial"/>
          <w:bCs/>
          <w:color w:val="000000"/>
          <w:sz w:val="22"/>
          <w:szCs w:val="22"/>
        </w:rPr>
        <w:t>”</w:t>
      </w:r>
    </w:p>
    <w:p w14:paraId="38656ED5" w14:textId="17826F02" w:rsidR="00881871" w:rsidRDefault="00CF2E0F" w:rsidP="00EC4A8C">
      <w:pPr>
        <w:tabs>
          <w:tab w:val="left" w:pos="851"/>
        </w:tabs>
        <w:spacing w:before="120" w:after="120"/>
        <w:ind w:firstLine="851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2 A</w:t>
      </w:r>
      <w:r w:rsidR="00837D8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C4A8C">
        <w:rPr>
          <w:rFonts w:ascii="Arial" w:hAnsi="Arial" w:cs="Arial"/>
          <w:bCs/>
          <w:color w:val="000000"/>
          <w:sz w:val="22"/>
          <w:szCs w:val="22"/>
        </w:rPr>
        <w:t xml:space="preserve">prestação de contas deve ser baixada como regular com ressalvas somente após o término do pagamento </w:t>
      </w:r>
      <w:r w:rsidR="00881871">
        <w:rPr>
          <w:rFonts w:ascii="Arial" w:hAnsi="Arial" w:cs="Arial"/>
          <w:bCs/>
          <w:color w:val="000000"/>
          <w:sz w:val="22"/>
          <w:szCs w:val="22"/>
        </w:rPr>
        <w:t xml:space="preserve">de todas as </w:t>
      </w:r>
      <w:r w:rsidR="00EC4A8C">
        <w:rPr>
          <w:rFonts w:ascii="Arial" w:hAnsi="Arial" w:cs="Arial"/>
          <w:bCs/>
          <w:color w:val="000000"/>
          <w:sz w:val="22"/>
          <w:szCs w:val="22"/>
        </w:rPr>
        <w:t>parcelas.</w:t>
      </w:r>
    </w:p>
    <w:p w14:paraId="07109470" w14:textId="173DED02" w:rsidR="00EC4A8C" w:rsidRDefault="00883E23" w:rsidP="00EC4A8C">
      <w:pPr>
        <w:tabs>
          <w:tab w:val="left" w:pos="851"/>
        </w:tabs>
        <w:spacing w:before="120" w:after="120"/>
        <w:ind w:firstLine="851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3 </w:t>
      </w:r>
      <w:r w:rsidR="00EC4A8C">
        <w:rPr>
          <w:rFonts w:ascii="Arial" w:hAnsi="Arial" w:cs="Arial"/>
          <w:bCs/>
          <w:color w:val="000000"/>
          <w:sz w:val="22"/>
          <w:szCs w:val="22"/>
        </w:rPr>
        <w:t>Por força do artigo 43, inciso III, do Decreto n</w:t>
      </w:r>
      <w:r w:rsidR="00EC4A8C" w:rsidRPr="00C869EE">
        <w:rPr>
          <w:rFonts w:ascii="Arial" w:hAnsi="Arial" w:cs="Arial"/>
          <w:bCs/>
          <w:color w:val="000000"/>
          <w:sz w:val="22"/>
          <w:szCs w:val="22"/>
        </w:rPr>
        <w:t>º</w:t>
      </w:r>
      <w:r w:rsidR="00EC4A8C">
        <w:rPr>
          <w:rFonts w:ascii="Arial" w:hAnsi="Arial" w:cs="Arial"/>
          <w:bCs/>
          <w:color w:val="000000"/>
          <w:sz w:val="22"/>
          <w:szCs w:val="22"/>
        </w:rPr>
        <w:t xml:space="preserve"> 733, de 24 de outubro de 2024, a prestação de contas deve permanecer na situação irregular no Módulo de Transferências do SIGEF enquanto houver débito perante a fazenda pública</w:t>
      </w:r>
      <w:r w:rsidR="00321ABA">
        <w:rPr>
          <w:rFonts w:ascii="Arial" w:hAnsi="Arial" w:cs="Arial"/>
          <w:bCs/>
          <w:color w:val="000000"/>
          <w:sz w:val="22"/>
          <w:szCs w:val="22"/>
        </w:rPr>
        <w:t>, a saber:</w:t>
      </w:r>
      <w:r w:rsidR="00EC4A8C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10B8A6FD" w14:textId="77777777" w:rsidR="00CE3419" w:rsidRPr="005B6AF1" w:rsidRDefault="00CE3419" w:rsidP="00EC4A8C">
      <w:pPr>
        <w:tabs>
          <w:tab w:val="left" w:pos="851"/>
        </w:tabs>
        <w:spacing w:before="120" w:after="120"/>
        <w:ind w:firstLine="851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21B4230" w14:textId="1956686C" w:rsidR="00EC4A8C" w:rsidRPr="005B6AF1" w:rsidRDefault="00EC4A8C" w:rsidP="00CE3419">
      <w:pPr>
        <w:tabs>
          <w:tab w:val="left" w:pos="851"/>
        </w:tabs>
        <w:spacing w:before="120" w:after="120"/>
        <w:ind w:left="2268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6AF1">
        <w:rPr>
          <w:rFonts w:ascii="Arial" w:hAnsi="Arial" w:cs="Arial"/>
          <w:bCs/>
          <w:color w:val="000000"/>
          <w:sz w:val="20"/>
          <w:szCs w:val="20"/>
        </w:rPr>
        <w:t>Art. 43. Após avaliação, as contas serão consideradas:</w:t>
      </w:r>
    </w:p>
    <w:p w14:paraId="0AC6F971" w14:textId="54AE0AFB" w:rsidR="00EC4A8C" w:rsidRPr="005B6AF1" w:rsidRDefault="00CE3419" w:rsidP="005B6AF1">
      <w:pPr>
        <w:tabs>
          <w:tab w:val="left" w:pos="851"/>
        </w:tabs>
        <w:spacing w:before="120" w:after="120"/>
        <w:ind w:left="2268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[</w:t>
      </w:r>
      <w:r w:rsidRPr="005B6AF1">
        <w:rPr>
          <w:rFonts w:ascii="Arial" w:hAnsi="Arial" w:cs="Arial"/>
          <w:bCs/>
          <w:color w:val="000000"/>
          <w:sz w:val="20"/>
          <w:szCs w:val="20"/>
        </w:rPr>
        <w:t>...</w:t>
      </w:r>
      <w:r>
        <w:rPr>
          <w:rFonts w:ascii="Arial" w:hAnsi="Arial" w:cs="Arial"/>
          <w:bCs/>
          <w:color w:val="000000"/>
          <w:sz w:val="20"/>
          <w:szCs w:val="20"/>
        </w:rPr>
        <w:t>]</w:t>
      </w:r>
    </w:p>
    <w:p w14:paraId="0E5C1AE7" w14:textId="77777777" w:rsidR="00EC4A8C" w:rsidRPr="00CE3419" w:rsidRDefault="00EC4A8C" w:rsidP="00CE3419">
      <w:pPr>
        <w:tabs>
          <w:tab w:val="left" w:pos="851"/>
        </w:tabs>
        <w:spacing w:before="120" w:after="120"/>
        <w:ind w:left="2268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6AF1">
        <w:rPr>
          <w:rFonts w:ascii="Arial" w:hAnsi="Arial" w:cs="Arial"/>
          <w:bCs/>
          <w:color w:val="000000"/>
          <w:sz w:val="20"/>
          <w:szCs w:val="20"/>
        </w:rPr>
        <w:t>III – irregulares: nos casos previstos no art. 32 deste Decreto, enquanto não houver o ressarcimento.</w:t>
      </w:r>
    </w:p>
    <w:p w14:paraId="4A5C9527" w14:textId="77777777" w:rsidR="00CE3419" w:rsidRPr="005B6AF1" w:rsidRDefault="00CE3419" w:rsidP="005B6AF1">
      <w:pPr>
        <w:tabs>
          <w:tab w:val="left" w:pos="851"/>
        </w:tabs>
        <w:spacing w:before="120" w:after="120"/>
        <w:ind w:left="2268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E80C1E4" w14:textId="33CC31BE" w:rsidR="00EC4A8C" w:rsidRDefault="00883E23" w:rsidP="00EC4A8C">
      <w:pPr>
        <w:tabs>
          <w:tab w:val="left" w:pos="851"/>
        </w:tabs>
        <w:spacing w:before="120" w:after="120"/>
        <w:ind w:firstLine="851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4 </w:t>
      </w:r>
      <w:r w:rsidR="00EC4A8C">
        <w:rPr>
          <w:rFonts w:ascii="Arial" w:hAnsi="Arial" w:cs="Arial"/>
          <w:bCs/>
          <w:color w:val="000000"/>
          <w:sz w:val="22"/>
          <w:szCs w:val="22"/>
        </w:rPr>
        <w:t xml:space="preserve">Caso haja parcelamento do débito e o beneficiário necessite receber novos recursos do Estado, poderá solicitar ao Tribunal de Contas do Estado </w:t>
      </w:r>
      <w:r w:rsidR="00035CD5">
        <w:rPr>
          <w:rFonts w:ascii="Arial" w:hAnsi="Arial" w:cs="Arial"/>
          <w:bCs/>
          <w:color w:val="000000"/>
          <w:sz w:val="22"/>
          <w:szCs w:val="22"/>
        </w:rPr>
        <w:t xml:space="preserve">(TCE) </w:t>
      </w:r>
      <w:r w:rsidR="00EC4A8C">
        <w:rPr>
          <w:rFonts w:ascii="Arial" w:hAnsi="Arial" w:cs="Arial"/>
          <w:bCs/>
          <w:color w:val="000000"/>
          <w:sz w:val="22"/>
          <w:szCs w:val="22"/>
        </w:rPr>
        <w:t>ou à Secretaria de Estado da Fazenda</w:t>
      </w:r>
      <w:r w:rsidR="00035CD5">
        <w:rPr>
          <w:rFonts w:ascii="Arial" w:hAnsi="Arial" w:cs="Arial"/>
          <w:bCs/>
          <w:color w:val="000000"/>
          <w:sz w:val="22"/>
          <w:szCs w:val="22"/>
        </w:rPr>
        <w:t xml:space="preserve"> (SEF)</w:t>
      </w:r>
      <w:r w:rsidR="00EC4A8C">
        <w:rPr>
          <w:rFonts w:ascii="Arial" w:hAnsi="Arial" w:cs="Arial"/>
          <w:bCs/>
          <w:color w:val="000000"/>
          <w:sz w:val="22"/>
          <w:szCs w:val="22"/>
        </w:rPr>
        <w:t xml:space="preserve">, conforme o caso, a emissão de certidão positiva com efeito de negativa. Essa certidão deve ser enviada à Gerência de Recursos Antecipados da </w:t>
      </w:r>
      <w:r w:rsidR="00AD4B9C">
        <w:rPr>
          <w:rFonts w:ascii="Arial" w:hAnsi="Arial" w:cs="Arial"/>
          <w:bCs/>
          <w:color w:val="000000"/>
          <w:sz w:val="22"/>
          <w:szCs w:val="22"/>
        </w:rPr>
        <w:t>Controladoria-</w:t>
      </w:r>
      <w:r w:rsidR="00EC4A8C">
        <w:rPr>
          <w:rFonts w:ascii="Arial" w:hAnsi="Arial" w:cs="Arial"/>
          <w:bCs/>
          <w:color w:val="000000"/>
          <w:sz w:val="22"/>
          <w:szCs w:val="22"/>
        </w:rPr>
        <w:t>Geral do Estado, que irá cadastrar uma exceção à irregularidade no SIGEF</w:t>
      </w:r>
      <w:r w:rsidR="00CF2E0F">
        <w:rPr>
          <w:rFonts w:ascii="Arial" w:hAnsi="Arial" w:cs="Arial"/>
          <w:bCs/>
          <w:color w:val="000000"/>
          <w:sz w:val="22"/>
          <w:szCs w:val="22"/>
        </w:rPr>
        <w:t>.</w:t>
      </w:r>
      <w:r w:rsidR="00EC4A8C">
        <w:rPr>
          <w:rFonts w:ascii="Arial" w:hAnsi="Arial" w:cs="Arial"/>
          <w:bCs/>
          <w:color w:val="000000"/>
          <w:sz w:val="22"/>
          <w:szCs w:val="22"/>
        </w:rPr>
        <w:t xml:space="preserve"> A exceção tem o efeito de suspender o bloqueio do beneficiário durante o prazo de vigência da certidão concedida</w:t>
      </w:r>
      <w:r w:rsidR="00AD4B9C">
        <w:rPr>
          <w:rFonts w:ascii="Arial" w:hAnsi="Arial" w:cs="Arial"/>
          <w:bCs/>
          <w:color w:val="000000"/>
          <w:sz w:val="22"/>
          <w:szCs w:val="22"/>
        </w:rPr>
        <w:t>, no entanto, c</w:t>
      </w:r>
      <w:r w:rsidR="00EC4A8C">
        <w:rPr>
          <w:rFonts w:ascii="Arial" w:hAnsi="Arial" w:cs="Arial"/>
          <w:bCs/>
          <w:color w:val="000000"/>
          <w:sz w:val="22"/>
          <w:szCs w:val="22"/>
        </w:rPr>
        <w:t xml:space="preserve">aso o beneficiário interrompa o pagamento das parcelas a exceção não será mais </w:t>
      </w:r>
      <w:r w:rsidR="009F1AAA">
        <w:rPr>
          <w:rFonts w:ascii="Arial" w:hAnsi="Arial" w:cs="Arial"/>
          <w:bCs/>
          <w:color w:val="000000"/>
          <w:sz w:val="22"/>
          <w:szCs w:val="22"/>
        </w:rPr>
        <w:t>cadastrada</w:t>
      </w:r>
      <w:r w:rsidR="00EC4A8C">
        <w:rPr>
          <w:rFonts w:ascii="Arial" w:hAnsi="Arial" w:cs="Arial"/>
          <w:bCs/>
          <w:color w:val="000000"/>
          <w:sz w:val="22"/>
          <w:szCs w:val="22"/>
        </w:rPr>
        <w:t xml:space="preserve"> e o beneficiário ficará impedido de receber novos recursos estaduais.</w:t>
      </w:r>
    </w:p>
    <w:p w14:paraId="2C9B4DF4" w14:textId="436EF340" w:rsidR="00EC4A8C" w:rsidRDefault="00883E23" w:rsidP="00EC4A8C">
      <w:pPr>
        <w:tabs>
          <w:tab w:val="left" w:pos="851"/>
        </w:tabs>
        <w:spacing w:before="120" w:after="120"/>
        <w:ind w:firstLine="851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5 </w:t>
      </w:r>
      <w:r w:rsidR="00560909">
        <w:rPr>
          <w:rFonts w:ascii="Arial" w:hAnsi="Arial" w:cs="Arial"/>
          <w:bCs/>
          <w:color w:val="000000"/>
          <w:sz w:val="22"/>
          <w:szCs w:val="22"/>
        </w:rPr>
        <w:t>Apresenta-se</w:t>
      </w:r>
      <w:r w:rsidR="00EC4A8C">
        <w:rPr>
          <w:rFonts w:ascii="Arial" w:hAnsi="Arial" w:cs="Arial"/>
          <w:bCs/>
          <w:color w:val="000000"/>
          <w:sz w:val="22"/>
          <w:szCs w:val="22"/>
        </w:rPr>
        <w:t xml:space="preserve"> a seguir a legislação que regulamenta o assunto.</w:t>
      </w:r>
    </w:p>
    <w:p w14:paraId="4AD8E979" w14:textId="1276C1D5" w:rsidR="00035CD5" w:rsidRDefault="00883E23" w:rsidP="00EC4A8C">
      <w:pPr>
        <w:tabs>
          <w:tab w:val="left" w:pos="851"/>
        </w:tabs>
        <w:spacing w:before="120" w:after="120"/>
        <w:ind w:firstLine="851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6 </w:t>
      </w:r>
      <w:r w:rsidR="00EC4A8C">
        <w:rPr>
          <w:rFonts w:ascii="Arial" w:hAnsi="Arial" w:cs="Arial"/>
          <w:bCs/>
          <w:color w:val="000000"/>
          <w:sz w:val="22"/>
          <w:szCs w:val="22"/>
        </w:rPr>
        <w:t>O artigo 46 do Decreto n</w:t>
      </w:r>
      <w:r w:rsidR="00EC4A8C" w:rsidRPr="00C869EE">
        <w:rPr>
          <w:rFonts w:ascii="Arial" w:hAnsi="Arial" w:cs="Arial"/>
          <w:bCs/>
          <w:color w:val="000000"/>
          <w:sz w:val="22"/>
          <w:szCs w:val="22"/>
        </w:rPr>
        <w:t>º</w:t>
      </w:r>
      <w:r w:rsidR="00EC4A8C">
        <w:rPr>
          <w:rFonts w:ascii="Arial" w:hAnsi="Arial" w:cs="Arial"/>
          <w:bCs/>
          <w:color w:val="000000"/>
          <w:sz w:val="22"/>
          <w:szCs w:val="22"/>
        </w:rPr>
        <w:t xml:space="preserve"> 733</w:t>
      </w:r>
      <w:r w:rsidR="00EC4A8C" w:rsidRPr="00F35B03">
        <w:rPr>
          <w:rFonts w:ascii="Arial" w:eastAsia="Arial" w:hAnsi="Arial" w:cs="Arial"/>
          <w:sz w:val="22"/>
          <w:szCs w:val="22"/>
          <w:highlight w:val="white"/>
        </w:rPr>
        <w:t>/</w:t>
      </w:r>
      <w:r w:rsidR="00EC4A8C">
        <w:rPr>
          <w:rFonts w:ascii="Arial" w:hAnsi="Arial" w:cs="Arial"/>
          <w:bCs/>
          <w:color w:val="000000"/>
          <w:sz w:val="22"/>
          <w:szCs w:val="22"/>
        </w:rPr>
        <w:t>2024 estabelece:</w:t>
      </w:r>
    </w:p>
    <w:p w14:paraId="1B0C768E" w14:textId="77777777" w:rsidR="00560909" w:rsidRDefault="00560909" w:rsidP="00EC4A8C">
      <w:pPr>
        <w:tabs>
          <w:tab w:val="left" w:pos="851"/>
        </w:tabs>
        <w:spacing w:before="120" w:after="120"/>
        <w:ind w:firstLine="851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DA67042" w14:textId="70F6CB36" w:rsidR="00EC4A8C" w:rsidRPr="005B6AF1" w:rsidRDefault="00EC4A8C" w:rsidP="00EC4A8C">
      <w:pPr>
        <w:tabs>
          <w:tab w:val="left" w:pos="851"/>
        </w:tabs>
        <w:spacing w:before="120" w:after="120"/>
        <w:ind w:left="1361" w:firstLine="851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6AF1">
        <w:rPr>
          <w:rFonts w:ascii="Arial" w:hAnsi="Arial" w:cs="Arial"/>
          <w:bCs/>
          <w:color w:val="000000"/>
          <w:sz w:val="20"/>
          <w:szCs w:val="20"/>
        </w:rPr>
        <w:t xml:space="preserve">Art. 46. Exaurida a fase recursal e reprovadas as contas, </w:t>
      </w:r>
      <w:proofErr w:type="gramStart"/>
      <w:r w:rsidRPr="005B6AF1">
        <w:rPr>
          <w:rFonts w:ascii="Arial" w:hAnsi="Arial" w:cs="Arial"/>
          <w:bCs/>
          <w:color w:val="000000"/>
          <w:sz w:val="20"/>
          <w:szCs w:val="20"/>
        </w:rPr>
        <w:t>o concedente</w:t>
      </w:r>
      <w:proofErr w:type="gramEnd"/>
      <w:r w:rsidRPr="005B6AF1">
        <w:rPr>
          <w:rFonts w:ascii="Arial" w:hAnsi="Arial" w:cs="Arial"/>
          <w:bCs/>
          <w:color w:val="000000"/>
          <w:sz w:val="20"/>
          <w:szCs w:val="20"/>
        </w:rPr>
        <w:t xml:space="preserve"> dará ciência da decisão aos responsáveis. </w:t>
      </w:r>
    </w:p>
    <w:p w14:paraId="252D778F" w14:textId="77777777" w:rsidR="00EC4A8C" w:rsidRPr="005B6AF1" w:rsidRDefault="00EC4A8C" w:rsidP="00EC4A8C">
      <w:pPr>
        <w:tabs>
          <w:tab w:val="left" w:pos="851"/>
        </w:tabs>
        <w:spacing w:before="120" w:after="120"/>
        <w:ind w:left="1361" w:firstLine="851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6AF1">
        <w:rPr>
          <w:rFonts w:ascii="Arial" w:hAnsi="Arial" w:cs="Arial"/>
          <w:bCs/>
          <w:color w:val="000000"/>
          <w:sz w:val="20"/>
          <w:szCs w:val="20"/>
        </w:rPr>
        <w:t xml:space="preserve">§ 1º Nos casos em que não houver o recolhimento do débito ou comprovação da elisão do dano, o administrador público determinará o imediato lançamento contábil do débito e o registro da inadimplência dos responsáveis no SIGEF. </w:t>
      </w:r>
    </w:p>
    <w:p w14:paraId="5C506BDC" w14:textId="77777777" w:rsidR="00EC4A8C" w:rsidRPr="005B6AF1" w:rsidRDefault="00EC4A8C" w:rsidP="00EC4A8C">
      <w:pPr>
        <w:tabs>
          <w:tab w:val="left" w:pos="851"/>
        </w:tabs>
        <w:spacing w:before="120" w:after="120"/>
        <w:ind w:left="1361" w:firstLine="851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6AF1">
        <w:rPr>
          <w:rFonts w:ascii="Arial" w:hAnsi="Arial" w:cs="Arial"/>
          <w:bCs/>
          <w:color w:val="000000"/>
          <w:sz w:val="20"/>
          <w:szCs w:val="20"/>
        </w:rPr>
        <w:t>§ 2º Cumprido o disposto no caput e no § 1º deste artigo</w:t>
      </w:r>
      <w:r w:rsidRPr="005B6AF1">
        <w:rPr>
          <w:rFonts w:ascii="Arial" w:hAnsi="Arial" w:cs="Arial"/>
          <w:b/>
          <w:color w:val="000000"/>
          <w:sz w:val="20"/>
          <w:szCs w:val="20"/>
        </w:rPr>
        <w:t>, os autos serão encaminhados ao TCE/SC, exceto quando dispensado o encaminhamento</w:t>
      </w:r>
      <w:r w:rsidRPr="005B6AF1">
        <w:rPr>
          <w:rFonts w:ascii="Arial" w:hAnsi="Arial" w:cs="Arial"/>
          <w:bCs/>
          <w:color w:val="000000"/>
          <w:sz w:val="20"/>
          <w:szCs w:val="20"/>
        </w:rPr>
        <w:t>, nos termos da legislação vigente, caso em que serão encaminhados para inscrição em dívida ativa e cobrança, ou arquivados, quando comprovado o recolhimento ou a descaracterização do débito. (grifo nosso)</w:t>
      </w:r>
    </w:p>
    <w:p w14:paraId="706EFFAC" w14:textId="77777777" w:rsidR="00035CD5" w:rsidRPr="003E13DA" w:rsidRDefault="00035CD5" w:rsidP="00EC4A8C">
      <w:pPr>
        <w:tabs>
          <w:tab w:val="left" w:pos="851"/>
        </w:tabs>
        <w:spacing w:before="120" w:after="120"/>
        <w:ind w:left="1361" w:firstLine="851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1446B8A2" w14:textId="46DED7B8" w:rsidR="00EC4A8C" w:rsidRDefault="00883E23" w:rsidP="00EC4A8C">
      <w:pPr>
        <w:tabs>
          <w:tab w:val="left" w:pos="851"/>
        </w:tabs>
        <w:spacing w:before="120" w:after="120"/>
        <w:ind w:firstLine="851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7 </w:t>
      </w:r>
      <w:r w:rsidR="00EC4A8C">
        <w:rPr>
          <w:rFonts w:ascii="Arial" w:hAnsi="Arial" w:cs="Arial"/>
          <w:bCs/>
          <w:color w:val="000000"/>
          <w:sz w:val="22"/>
          <w:szCs w:val="22"/>
        </w:rPr>
        <w:t xml:space="preserve">De acordo com o </w:t>
      </w:r>
      <w:r w:rsidR="00EC4A8C" w:rsidRPr="00C869EE">
        <w:rPr>
          <w:rFonts w:ascii="Arial" w:hAnsi="Arial" w:cs="Arial"/>
          <w:bCs/>
          <w:color w:val="000000"/>
          <w:sz w:val="22"/>
          <w:szCs w:val="22"/>
        </w:rPr>
        <w:t>§2º</w:t>
      </w:r>
      <w:r w:rsidR="00EC4A8C">
        <w:rPr>
          <w:rFonts w:ascii="Arial" w:hAnsi="Arial" w:cs="Arial"/>
          <w:bCs/>
          <w:color w:val="000000"/>
          <w:sz w:val="22"/>
          <w:szCs w:val="22"/>
        </w:rPr>
        <w:t xml:space="preserve">, o não recolhimento do débito enseja o encaminhamento dos autos ao Tribunal de Contas do Estado. </w:t>
      </w:r>
    </w:p>
    <w:p w14:paraId="7825CCEE" w14:textId="6E06867B" w:rsidR="00EC4A8C" w:rsidRDefault="00883E23" w:rsidP="00EC4A8C">
      <w:pPr>
        <w:tabs>
          <w:tab w:val="left" w:pos="851"/>
        </w:tabs>
        <w:spacing w:before="120" w:after="120"/>
        <w:ind w:firstLine="851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8 </w:t>
      </w:r>
      <w:r w:rsidR="00EC4A8C">
        <w:rPr>
          <w:rFonts w:ascii="Arial" w:hAnsi="Arial" w:cs="Arial"/>
          <w:bCs/>
          <w:color w:val="000000"/>
          <w:sz w:val="22"/>
          <w:szCs w:val="22"/>
        </w:rPr>
        <w:t xml:space="preserve">Entretanto, há duas situações que dispensam o encaminhamento do processo ao TCE, previstas no art. 47, incisos II e IV da </w:t>
      </w:r>
      <w:r w:rsidR="00EC4A8C" w:rsidRPr="001D5B79">
        <w:rPr>
          <w:rFonts w:ascii="Arial" w:hAnsi="Arial" w:cs="Arial"/>
          <w:bCs/>
          <w:color w:val="000000"/>
          <w:sz w:val="22"/>
          <w:szCs w:val="22"/>
        </w:rPr>
        <w:t>I</w:t>
      </w:r>
      <w:r w:rsidR="00EC4A8C">
        <w:rPr>
          <w:rFonts w:ascii="Arial" w:hAnsi="Arial" w:cs="Arial"/>
          <w:bCs/>
          <w:color w:val="000000"/>
          <w:sz w:val="22"/>
          <w:szCs w:val="22"/>
        </w:rPr>
        <w:t>nstrução</w:t>
      </w:r>
      <w:r w:rsidR="00EC4A8C" w:rsidRPr="001D5B79">
        <w:rPr>
          <w:rFonts w:ascii="Arial" w:hAnsi="Arial" w:cs="Arial"/>
          <w:bCs/>
          <w:color w:val="000000"/>
          <w:sz w:val="22"/>
          <w:szCs w:val="22"/>
        </w:rPr>
        <w:t xml:space="preserve"> N</w:t>
      </w:r>
      <w:r w:rsidR="00EC4A8C">
        <w:rPr>
          <w:rFonts w:ascii="Arial" w:hAnsi="Arial" w:cs="Arial"/>
          <w:bCs/>
          <w:color w:val="000000"/>
          <w:sz w:val="22"/>
          <w:szCs w:val="22"/>
        </w:rPr>
        <w:t>ormativa</w:t>
      </w:r>
      <w:r w:rsidR="00EC4A8C" w:rsidRPr="001D5B7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C4A8C">
        <w:rPr>
          <w:rFonts w:ascii="Arial" w:hAnsi="Arial" w:cs="Arial"/>
          <w:bCs/>
          <w:color w:val="000000"/>
          <w:sz w:val="22"/>
          <w:szCs w:val="22"/>
        </w:rPr>
        <w:t>n</w:t>
      </w:r>
      <w:r w:rsidR="00EC4A8C" w:rsidRPr="001D5B79">
        <w:rPr>
          <w:rFonts w:ascii="Arial" w:hAnsi="Arial" w:cs="Arial"/>
          <w:bCs/>
          <w:color w:val="000000"/>
          <w:sz w:val="22"/>
          <w:szCs w:val="22"/>
        </w:rPr>
        <w:t>. TC 33-2024</w:t>
      </w:r>
      <w:r w:rsidR="00EC4A8C">
        <w:rPr>
          <w:rFonts w:ascii="Arial" w:hAnsi="Arial" w:cs="Arial"/>
          <w:bCs/>
          <w:color w:val="000000"/>
          <w:sz w:val="22"/>
          <w:szCs w:val="22"/>
        </w:rPr>
        <w:t>, quando o valor não foi recolhido pelo beneficiário</w:t>
      </w:r>
      <w:r w:rsidR="00560909">
        <w:rPr>
          <w:rFonts w:ascii="Arial" w:hAnsi="Arial" w:cs="Arial"/>
          <w:bCs/>
          <w:color w:val="000000"/>
          <w:sz w:val="22"/>
          <w:szCs w:val="22"/>
        </w:rPr>
        <w:t>, a saber:</w:t>
      </w:r>
    </w:p>
    <w:p w14:paraId="0CA0693C" w14:textId="77777777" w:rsidR="00827EA0" w:rsidRDefault="00827EA0" w:rsidP="005B6AF1">
      <w:pPr>
        <w:tabs>
          <w:tab w:val="left" w:pos="851"/>
        </w:tabs>
        <w:spacing w:before="120" w:after="120"/>
        <w:ind w:left="2268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D33BB7F" w14:textId="77777777" w:rsidR="00EC4A8C" w:rsidRPr="005B6AF1" w:rsidRDefault="00EC4A8C" w:rsidP="005B6AF1">
      <w:pPr>
        <w:tabs>
          <w:tab w:val="left" w:pos="851"/>
        </w:tabs>
        <w:spacing w:before="120" w:after="120"/>
        <w:ind w:left="2268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6AF1">
        <w:rPr>
          <w:rFonts w:ascii="Arial" w:hAnsi="Arial" w:cs="Arial"/>
          <w:bCs/>
          <w:color w:val="000000"/>
          <w:sz w:val="20"/>
          <w:szCs w:val="20"/>
        </w:rPr>
        <w:t xml:space="preserve">Art. 47. Fica dispensado o encaminhamento das prestações de contas ao Tribunal e autorizado o seu arquivamento no órgão ou na entidade de origem nas hipóteses de: </w:t>
      </w:r>
    </w:p>
    <w:p w14:paraId="24ACECDA" w14:textId="77777777" w:rsidR="00EC4A8C" w:rsidRPr="005B6AF1" w:rsidRDefault="00EC4A8C" w:rsidP="005B6AF1">
      <w:pPr>
        <w:tabs>
          <w:tab w:val="left" w:pos="851"/>
        </w:tabs>
        <w:spacing w:before="120" w:after="120"/>
        <w:ind w:left="2268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6AF1">
        <w:rPr>
          <w:rFonts w:ascii="Arial" w:hAnsi="Arial" w:cs="Arial"/>
          <w:bCs/>
          <w:color w:val="000000"/>
          <w:sz w:val="20"/>
          <w:szCs w:val="20"/>
        </w:rPr>
        <w:t>(...)</w:t>
      </w:r>
    </w:p>
    <w:p w14:paraId="19072863" w14:textId="77777777" w:rsidR="00EC4A8C" w:rsidRPr="005B6AF1" w:rsidRDefault="00EC4A8C" w:rsidP="005B6AF1">
      <w:pPr>
        <w:tabs>
          <w:tab w:val="left" w:pos="851"/>
        </w:tabs>
        <w:spacing w:before="120" w:after="120"/>
        <w:ind w:left="2268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6AF1">
        <w:rPr>
          <w:rFonts w:ascii="Arial" w:hAnsi="Arial" w:cs="Arial"/>
          <w:bCs/>
          <w:color w:val="000000"/>
          <w:sz w:val="20"/>
          <w:szCs w:val="20"/>
        </w:rPr>
        <w:t xml:space="preserve">II – </w:t>
      </w:r>
      <w:proofErr w:type="gramStart"/>
      <w:r w:rsidRPr="005B6AF1">
        <w:rPr>
          <w:rFonts w:ascii="Arial" w:hAnsi="Arial" w:cs="Arial"/>
          <w:bCs/>
          <w:color w:val="000000"/>
          <w:sz w:val="20"/>
          <w:szCs w:val="20"/>
        </w:rPr>
        <w:t>valor</w:t>
      </w:r>
      <w:proofErr w:type="gramEnd"/>
      <w:r w:rsidRPr="005B6AF1">
        <w:rPr>
          <w:rFonts w:ascii="Arial" w:hAnsi="Arial" w:cs="Arial"/>
          <w:bCs/>
          <w:color w:val="000000"/>
          <w:sz w:val="20"/>
          <w:szCs w:val="20"/>
        </w:rPr>
        <w:t xml:space="preserve"> do dano, atualizado monetariamente, inferior ao limite fixado pelo Tribunal para encaminhamento de Tomada de Contas Especial;</w:t>
      </w:r>
    </w:p>
    <w:p w14:paraId="42A5127D" w14:textId="77777777" w:rsidR="00EC4A8C" w:rsidRPr="005B6AF1" w:rsidRDefault="00EC4A8C" w:rsidP="005B6AF1">
      <w:pPr>
        <w:tabs>
          <w:tab w:val="left" w:pos="851"/>
        </w:tabs>
        <w:spacing w:before="120" w:after="120"/>
        <w:ind w:left="2268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6AF1">
        <w:rPr>
          <w:rFonts w:ascii="Arial" w:hAnsi="Arial" w:cs="Arial"/>
          <w:bCs/>
          <w:color w:val="000000"/>
          <w:sz w:val="20"/>
          <w:szCs w:val="20"/>
        </w:rPr>
        <w:t>(...)</w:t>
      </w:r>
    </w:p>
    <w:p w14:paraId="51C32BE9" w14:textId="77777777" w:rsidR="00EC4A8C" w:rsidRPr="005B6AF1" w:rsidRDefault="00EC4A8C" w:rsidP="005B6AF1">
      <w:pPr>
        <w:tabs>
          <w:tab w:val="left" w:pos="851"/>
        </w:tabs>
        <w:spacing w:before="120" w:after="120"/>
        <w:ind w:left="2268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6AF1">
        <w:rPr>
          <w:rFonts w:ascii="Arial" w:hAnsi="Arial" w:cs="Arial"/>
          <w:bCs/>
          <w:color w:val="000000"/>
          <w:sz w:val="20"/>
          <w:szCs w:val="20"/>
        </w:rPr>
        <w:t xml:space="preserve">IV – </w:t>
      </w:r>
      <w:proofErr w:type="gramStart"/>
      <w:r w:rsidRPr="005B6AF1">
        <w:rPr>
          <w:rFonts w:ascii="Arial" w:hAnsi="Arial" w:cs="Arial"/>
          <w:bCs/>
          <w:color w:val="000000"/>
          <w:sz w:val="20"/>
          <w:szCs w:val="20"/>
        </w:rPr>
        <w:t>quando</w:t>
      </w:r>
      <w:proofErr w:type="gramEnd"/>
      <w:r w:rsidRPr="005B6AF1">
        <w:rPr>
          <w:rFonts w:ascii="Arial" w:hAnsi="Arial" w:cs="Arial"/>
          <w:bCs/>
          <w:color w:val="000000"/>
          <w:sz w:val="20"/>
          <w:szCs w:val="20"/>
        </w:rPr>
        <w:t xml:space="preserve"> houver transcorrido prazo superior a cinco anos entre a data do repasse dos recursos e a conclusão do processo no âmbito administrativo.</w:t>
      </w:r>
    </w:p>
    <w:p w14:paraId="47787611" w14:textId="77777777" w:rsidR="00EC4A8C" w:rsidRPr="00281F76" w:rsidRDefault="00EC4A8C" w:rsidP="005B6AF1">
      <w:pPr>
        <w:tabs>
          <w:tab w:val="left" w:pos="851"/>
        </w:tabs>
        <w:spacing w:before="120" w:after="120"/>
        <w:ind w:left="2268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73563DA5" w14:textId="0B621852" w:rsidR="00EC4A8C" w:rsidRDefault="00883E23" w:rsidP="00EC4A8C">
      <w:pPr>
        <w:tabs>
          <w:tab w:val="left" w:pos="851"/>
        </w:tabs>
        <w:spacing w:before="120" w:after="120"/>
        <w:ind w:firstLine="851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9 </w:t>
      </w:r>
      <w:r w:rsidR="00EC4A8C">
        <w:rPr>
          <w:rFonts w:ascii="Arial" w:hAnsi="Arial" w:cs="Arial"/>
          <w:bCs/>
          <w:color w:val="000000"/>
          <w:sz w:val="22"/>
          <w:szCs w:val="22"/>
        </w:rPr>
        <w:t>O valor para dispensa de encaminhamento, nos termos do inciso II, é aquele previsto na Decisão Normativa</w:t>
      </w:r>
      <w:r w:rsidR="00974202">
        <w:rPr>
          <w:rFonts w:ascii="Arial" w:hAnsi="Arial" w:cs="Arial"/>
          <w:bCs/>
          <w:color w:val="000000"/>
          <w:sz w:val="22"/>
          <w:szCs w:val="22"/>
        </w:rPr>
        <w:t xml:space="preserve"> - DN</w:t>
      </w:r>
      <w:r w:rsidR="00EC4A8C">
        <w:rPr>
          <w:rFonts w:ascii="Arial" w:hAnsi="Arial" w:cs="Arial"/>
          <w:bCs/>
          <w:color w:val="000000"/>
          <w:sz w:val="22"/>
          <w:szCs w:val="22"/>
        </w:rPr>
        <w:t xml:space="preserve"> n. TC-17/2024, ou seja, </w:t>
      </w:r>
      <w:r w:rsidR="00EC4A8C" w:rsidRPr="00FD1BD0">
        <w:rPr>
          <w:rFonts w:ascii="Arial" w:hAnsi="Arial" w:cs="Arial"/>
          <w:bCs/>
          <w:color w:val="000000"/>
          <w:sz w:val="22"/>
          <w:szCs w:val="22"/>
        </w:rPr>
        <w:t>R$ 92.000,00 (noventa e dois mil reais)</w:t>
      </w:r>
      <w:r w:rsidR="00EC4A8C">
        <w:rPr>
          <w:rFonts w:ascii="Arial" w:hAnsi="Arial" w:cs="Arial"/>
          <w:bCs/>
          <w:color w:val="000000"/>
          <w:sz w:val="22"/>
          <w:szCs w:val="22"/>
        </w:rPr>
        <w:t xml:space="preserve">.  </w:t>
      </w:r>
    </w:p>
    <w:p w14:paraId="0B5F3D95" w14:textId="4D4BAA2D" w:rsidR="00560909" w:rsidRDefault="00883E23" w:rsidP="00EC4A8C">
      <w:pPr>
        <w:tabs>
          <w:tab w:val="left" w:pos="851"/>
        </w:tabs>
        <w:spacing w:before="120" w:after="120"/>
        <w:ind w:firstLine="851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10 </w:t>
      </w:r>
      <w:r w:rsidR="00EC4A8C">
        <w:rPr>
          <w:rFonts w:ascii="Arial" w:hAnsi="Arial" w:cs="Arial"/>
          <w:bCs/>
          <w:color w:val="000000"/>
          <w:sz w:val="22"/>
          <w:szCs w:val="22"/>
        </w:rPr>
        <w:t>No mesmo sentido, o</w:t>
      </w:r>
      <w:r w:rsidR="00EC4A8C" w:rsidRPr="005017EA">
        <w:rPr>
          <w:rFonts w:ascii="Arial" w:hAnsi="Arial" w:cs="Arial"/>
          <w:bCs/>
          <w:color w:val="000000"/>
          <w:sz w:val="22"/>
          <w:szCs w:val="22"/>
        </w:rPr>
        <w:t xml:space="preserve"> artigo 46, § 3º</w:t>
      </w:r>
      <w:r w:rsidR="00EC4A8C">
        <w:rPr>
          <w:rFonts w:ascii="Arial" w:hAnsi="Arial" w:cs="Arial"/>
          <w:bCs/>
          <w:color w:val="000000"/>
          <w:sz w:val="22"/>
          <w:szCs w:val="22"/>
        </w:rPr>
        <w:t xml:space="preserve"> da </w:t>
      </w:r>
      <w:r w:rsidR="00EC4A8C" w:rsidRPr="001D5B79">
        <w:rPr>
          <w:rFonts w:ascii="Arial" w:hAnsi="Arial" w:cs="Arial"/>
          <w:bCs/>
          <w:color w:val="000000"/>
          <w:sz w:val="22"/>
          <w:szCs w:val="22"/>
        </w:rPr>
        <w:t>I</w:t>
      </w:r>
      <w:r w:rsidR="00EC4A8C">
        <w:rPr>
          <w:rFonts w:ascii="Arial" w:hAnsi="Arial" w:cs="Arial"/>
          <w:bCs/>
          <w:color w:val="000000"/>
          <w:sz w:val="22"/>
          <w:szCs w:val="22"/>
        </w:rPr>
        <w:t>nstrução</w:t>
      </w:r>
      <w:r w:rsidR="00EC4A8C" w:rsidRPr="001D5B79">
        <w:rPr>
          <w:rFonts w:ascii="Arial" w:hAnsi="Arial" w:cs="Arial"/>
          <w:bCs/>
          <w:color w:val="000000"/>
          <w:sz w:val="22"/>
          <w:szCs w:val="22"/>
        </w:rPr>
        <w:t xml:space="preserve"> N</w:t>
      </w:r>
      <w:r w:rsidR="00EC4A8C">
        <w:rPr>
          <w:rFonts w:ascii="Arial" w:hAnsi="Arial" w:cs="Arial"/>
          <w:bCs/>
          <w:color w:val="000000"/>
          <w:sz w:val="22"/>
          <w:szCs w:val="22"/>
        </w:rPr>
        <w:t>ormativa</w:t>
      </w:r>
      <w:r w:rsidR="00EC4A8C" w:rsidRPr="001D5B7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C4A8C">
        <w:rPr>
          <w:rFonts w:ascii="Arial" w:hAnsi="Arial" w:cs="Arial"/>
          <w:bCs/>
          <w:color w:val="000000"/>
          <w:sz w:val="22"/>
          <w:szCs w:val="22"/>
        </w:rPr>
        <w:t>n</w:t>
      </w:r>
      <w:r w:rsidR="00EC4A8C" w:rsidRPr="001D5B79">
        <w:rPr>
          <w:rFonts w:ascii="Arial" w:hAnsi="Arial" w:cs="Arial"/>
          <w:bCs/>
          <w:color w:val="000000"/>
          <w:sz w:val="22"/>
          <w:szCs w:val="22"/>
        </w:rPr>
        <w:t>. TC 33-2024</w:t>
      </w:r>
      <w:r w:rsidR="00EC4A8C">
        <w:rPr>
          <w:rFonts w:ascii="Arial" w:hAnsi="Arial" w:cs="Arial"/>
          <w:bCs/>
          <w:color w:val="000000"/>
          <w:sz w:val="22"/>
          <w:szCs w:val="22"/>
        </w:rPr>
        <w:t>, prevê que</w:t>
      </w:r>
      <w:r w:rsidR="00560909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6BA8CBB4" w14:textId="77777777" w:rsidR="00560909" w:rsidRPr="005B6AF1" w:rsidRDefault="00560909" w:rsidP="00EC4A8C">
      <w:pPr>
        <w:tabs>
          <w:tab w:val="left" w:pos="851"/>
        </w:tabs>
        <w:spacing w:before="120" w:after="120"/>
        <w:ind w:firstLine="851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E87CA1E" w14:textId="3C1FDB72" w:rsidR="00EC4A8C" w:rsidRPr="005B6AF1" w:rsidRDefault="00EC4A8C" w:rsidP="00CF2E0F">
      <w:pPr>
        <w:tabs>
          <w:tab w:val="left" w:pos="851"/>
        </w:tabs>
        <w:spacing w:before="120" w:after="120"/>
        <w:ind w:left="2268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6AF1">
        <w:rPr>
          <w:rFonts w:ascii="Arial" w:hAnsi="Arial" w:cs="Arial"/>
          <w:bCs/>
          <w:color w:val="000000"/>
          <w:sz w:val="20"/>
          <w:szCs w:val="20"/>
        </w:rPr>
        <w:t>“as prestações de contas de adiantamentos, de subvenções, de auxílios e de contribuições consideradas irregulares e com valor do dano igual ou superior à quantia fixada anualmente pelo Tribunal de Contas para efeito de julgamento de Tomada de Contas Especial, serão encaminhadas ao Tribunal para julgamento”.</w:t>
      </w:r>
    </w:p>
    <w:p w14:paraId="4A61BF62" w14:textId="77777777" w:rsidR="00EC4A8C" w:rsidRPr="005B6AF1" w:rsidRDefault="00EC4A8C" w:rsidP="00EC4A8C">
      <w:pPr>
        <w:tabs>
          <w:tab w:val="left" w:pos="851"/>
        </w:tabs>
        <w:spacing w:before="120" w:after="120"/>
        <w:ind w:firstLine="851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2F7EE51" w14:textId="281509AD" w:rsidR="00EC4A8C" w:rsidRDefault="00764F7B" w:rsidP="00EC4A8C">
      <w:pPr>
        <w:tabs>
          <w:tab w:val="left" w:pos="851"/>
        </w:tabs>
        <w:spacing w:before="120" w:after="120"/>
        <w:ind w:firstLine="851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11</w:t>
      </w:r>
      <w:r w:rsidR="006A1F4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C4A8C" w:rsidRPr="003F5124">
        <w:rPr>
          <w:rFonts w:ascii="Arial" w:hAnsi="Arial" w:cs="Arial"/>
          <w:bCs/>
          <w:color w:val="000000"/>
          <w:sz w:val="22"/>
          <w:szCs w:val="22"/>
        </w:rPr>
        <w:t>Desta forma,</w:t>
      </w:r>
      <w:r w:rsidR="00EC4A8C">
        <w:rPr>
          <w:rFonts w:ascii="Arial" w:hAnsi="Arial" w:cs="Arial"/>
          <w:bCs/>
          <w:color w:val="000000"/>
          <w:sz w:val="22"/>
          <w:szCs w:val="22"/>
        </w:rPr>
        <w:t xml:space="preserve"> para que o processo seja encaminhado ao TCE há duas condições a seguir:</w:t>
      </w:r>
    </w:p>
    <w:p w14:paraId="1C7E597E" w14:textId="084F5726" w:rsidR="00EC4A8C" w:rsidRPr="00BF635C" w:rsidRDefault="00764F7B" w:rsidP="00BF635C">
      <w:pPr>
        <w:tabs>
          <w:tab w:val="left" w:pos="851"/>
        </w:tabs>
        <w:spacing w:before="120" w:after="120"/>
        <w:ind w:firstLine="851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11.1 </w:t>
      </w:r>
      <w:r w:rsidR="00EC4A8C" w:rsidRPr="00BF635C">
        <w:rPr>
          <w:rFonts w:ascii="Arial" w:hAnsi="Arial" w:cs="Arial"/>
          <w:bCs/>
          <w:color w:val="000000"/>
          <w:sz w:val="22"/>
          <w:szCs w:val="22"/>
        </w:rPr>
        <w:t xml:space="preserve">O valor deve </w:t>
      </w:r>
      <w:r w:rsidR="00974202">
        <w:rPr>
          <w:rFonts w:ascii="Arial" w:hAnsi="Arial" w:cs="Arial"/>
          <w:bCs/>
          <w:color w:val="000000"/>
          <w:sz w:val="22"/>
          <w:szCs w:val="22"/>
        </w:rPr>
        <w:t xml:space="preserve">ser superior </w:t>
      </w:r>
      <w:r w:rsidR="006A1F46">
        <w:rPr>
          <w:rFonts w:ascii="Arial" w:hAnsi="Arial" w:cs="Arial"/>
          <w:bCs/>
          <w:color w:val="000000"/>
          <w:sz w:val="22"/>
          <w:szCs w:val="22"/>
        </w:rPr>
        <w:t xml:space="preserve">ao </w:t>
      </w:r>
      <w:r w:rsidR="006A1F46" w:rsidRPr="00BF635C">
        <w:rPr>
          <w:rFonts w:ascii="Arial" w:hAnsi="Arial" w:cs="Arial"/>
          <w:bCs/>
          <w:color w:val="000000"/>
          <w:sz w:val="22"/>
          <w:szCs w:val="22"/>
        </w:rPr>
        <w:t>valor</w:t>
      </w:r>
      <w:r w:rsidR="00EC4A8C" w:rsidRPr="00BF635C">
        <w:rPr>
          <w:rFonts w:ascii="Arial" w:hAnsi="Arial" w:cs="Arial"/>
          <w:bCs/>
          <w:color w:val="000000"/>
          <w:sz w:val="22"/>
          <w:szCs w:val="22"/>
        </w:rPr>
        <w:t xml:space="preserve"> de alçada da tomada de contas especial. </w:t>
      </w:r>
      <w:r w:rsidR="00974202">
        <w:rPr>
          <w:rFonts w:ascii="Arial" w:hAnsi="Arial" w:cs="Arial"/>
          <w:bCs/>
          <w:color w:val="000000"/>
          <w:sz w:val="22"/>
          <w:szCs w:val="22"/>
        </w:rPr>
        <w:t xml:space="preserve">Para fins de aplicação do valor devem ser seguidos os requisitos </w:t>
      </w:r>
      <w:r w:rsidR="00A91B93">
        <w:rPr>
          <w:rFonts w:ascii="Arial" w:hAnsi="Arial" w:cs="Arial"/>
          <w:bCs/>
          <w:color w:val="000000"/>
          <w:sz w:val="22"/>
          <w:szCs w:val="22"/>
        </w:rPr>
        <w:t>do art.</w:t>
      </w:r>
      <w:r w:rsidR="00A91B93" w:rsidRPr="00A91B9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91B93">
        <w:rPr>
          <w:rFonts w:ascii="Arial" w:hAnsi="Arial" w:cs="Arial"/>
          <w:bCs/>
          <w:color w:val="000000"/>
          <w:sz w:val="22"/>
          <w:szCs w:val="22"/>
        </w:rPr>
        <w:t xml:space="preserve">1º e </w:t>
      </w:r>
      <w:r w:rsidR="00974202">
        <w:rPr>
          <w:rFonts w:ascii="Arial" w:hAnsi="Arial" w:cs="Arial"/>
          <w:bCs/>
          <w:color w:val="000000"/>
          <w:sz w:val="22"/>
          <w:szCs w:val="22"/>
        </w:rPr>
        <w:t>incisos I e II da DN n. TC-1</w:t>
      </w:r>
      <w:r w:rsidR="00411050">
        <w:rPr>
          <w:rFonts w:ascii="Arial" w:hAnsi="Arial" w:cs="Arial"/>
          <w:bCs/>
          <w:color w:val="000000"/>
          <w:sz w:val="22"/>
          <w:szCs w:val="22"/>
        </w:rPr>
        <w:t>7</w:t>
      </w:r>
      <w:r w:rsidR="00974202">
        <w:rPr>
          <w:rFonts w:ascii="Arial" w:hAnsi="Arial" w:cs="Arial"/>
          <w:bCs/>
          <w:color w:val="000000"/>
          <w:sz w:val="22"/>
          <w:szCs w:val="22"/>
        </w:rPr>
        <w:t>/2024.</w:t>
      </w:r>
      <w:r w:rsidR="00A91B93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363BF5DD" w14:textId="688FA926" w:rsidR="00EC4A8C" w:rsidRPr="00BF635C" w:rsidRDefault="00764F7B" w:rsidP="00BF635C">
      <w:pPr>
        <w:tabs>
          <w:tab w:val="left" w:pos="851"/>
        </w:tabs>
        <w:spacing w:before="120" w:after="120"/>
        <w:ind w:firstLine="851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11.2 </w:t>
      </w:r>
      <w:r w:rsidR="00974202">
        <w:rPr>
          <w:rFonts w:ascii="Arial" w:hAnsi="Arial" w:cs="Arial"/>
          <w:bCs/>
          <w:color w:val="000000"/>
          <w:sz w:val="22"/>
          <w:szCs w:val="22"/>
        </w:rPr>
        <w:t>O</w:t>
      </w:r>
      <w:r w:rsidR="00EC4A8C" w:rsidRPr="00BF635C">
        <w:rPr>
          <w:rFonts w:ascii="Arial" w:hAnsi="Arial" w:cs="Arial"/>
          <w:bCs/>
          <w:color w:val="000000"/>
          <w:sz w:val="22"/>
          <w:szCs w:val="22"/>
        </w:rPr>
        <w:t xml:space="preserve"> prazo</w:t>
      </w:r>
      <w:r w:rsidR="0097420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D513E">
        <w:rPr>
          <w:rFonts w:ascii="Arial" w:hAnsi="Arial" w:cs="Arial"/>
          <w:bCs/>
          <w:color w:val="000000"/>
          <w:sz w:val="22"/>
          <w:szCs w:val="22"/>
        </w:rPr>
        <w:t xml:space="preserve">não </w:t>
      </w:r>
      <w:r w:rsidR="00974202">
        <w:rPr>
          <w:rFonts w:ascii="Arial" w:hAnsi="Arial" w:cs="Arial"/>
          <w:bCs/>
          <w:color w:val="000000"/>
          <w:sz w:val="22"/>
          <w:szCs w:val="22"/>
        </w:rPr>
        <w:t>ser</w:t>
      </w:r>
      <w:r w:rsidR="00EC4A8C" w:rsidRPr="00BF635C">
        <w:rPr>
          <w:rFonts w:ascii="Arial" w:hAnsi="Arial" w:cs="Arial"/>
          <w:bCs/>
          <w:color w:val="000000"/>
          <w:sz w:val="22"/>
          <w:szCs w:val="22"/>
        </w:rPr>
        <w:t xml:space="preserve"> superior a cinco anos entre a data do repasse dos recursos e a conclusão do processo no âmbito administrativo</w:t>
      </w:r>
      <w:r w:rsidR="00974202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3553F6E1" w14:textId="4A20F608" w:rsidR="00EC4A8C" w:rsidRDefault="00764F7B" w:rsidP="00560909">
      <w:pPr>
        <w:tabs>
          <w:tab w:val="left" w:pos="851"/>
        </w:tabs>
        <w:spacing w:before="120" w:after="120"/>
        <w:ind w:firstLine="8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12 </w:t>
      </w:r>
      <w:r w:rsidR="00974202">
        <w:rPr>
          <w:rFonts w:ascii="Arial" w:eastAsia="Arial" w:hAnsi="Arial" w:cs="Arial"/>
          <w:sz w:val="22"/>
          <w:szCs w:val="22"/>
        </w:rPr>
        <w:t xml:space="preserve">Caso </w:t>
      </w:r>
      <w:r w:rsidR="006A1F46">
        <w:rPr>
          <w:rFonts w:ascii="Arial" w:eastAsia="Arial" w:hAnsi="Arial" w:cs="Arial"/>
          <w:sz w:val="22"/>
          <w:szCs w:val="22"/>
        </w:rPr>
        <w:t xml:space="preserve">o </w:t>
      </w:r>
      <w:r w:rsidR="006A1F46" w:rsidRPr="003C4BCF">
        <w:rPr>
          <w:rFonts w:ascii="Arial" w:eastAsia="Arial" w:hAnsi="Arial" w:cs="Arial"/>
          <w:sz w:val="22"/>
          <w:szCs w:val="22"/>
        </w:rPr>
        <w:t>processo</w:t>
      </w:r>
      <w:r w:rsidR="00EC4A8C" w:rsidRPr="003C4BCF">
        <w:rPr>
          <w:rFonts w:ascii="Arial" w:eastAsia="Arial" w:hAnsi="Arial" w:cs="Arial"/>
          <w:sz w:val="22"/>
          <w:szCs w:val="22"/>
        </w:rPr>
        <w:t xml:space="preserve"> esteja no TCE é possível solicitar o parcelamento do débito, conforme previsto no arti</w:t>
      </w:r>
      <w:r w:rsidR="00EC4A8C">
        <w:rPr>
          <w:rFonts w:ascii="Arial" w:eastAsia="Arial" w:hAnsi="Arial" w:cs="Arial"/>
          <w:sz w:val="22"/>
          <w:szCs w:val="22"/>
        </w:rPr>
        <w:t>go 61 do Regimento Interno do Tribunal de Contas</w:t>
      </w:r>
      <w:r w:rsidR="00560909">
        <w:rPr>
          <w:rFonts w:ascii="Arial" w:eastAsia="Arial" w:hAnsi="Arial" w:cs="Arial"/>
          <w:sz w:val="22"/>
          <w:szCs w:val="22"/>
        </w:rPr>
        <w:t>:</w:t>
      </w:r>
    </w:p>
    <w:p w14:paraId="393988A1" w14:textId="77777777" w:rsidR="00D63A06" w:rsidRPr="005B6AF1" w:rsidRDefault="00D63A06" w:rsidP="005B6AF1">
      <w:pPr>
        <w:tabs>
          <w:tab w:val="left" w:pos="851"/>
        </w:tabs>
        <w:spacing w:before="120" w:after="120"/>
        <w:ind w:left="2268"/>
        <w:jc w:val="both"/>
        <w:rPr>
          <w:rFonts w:ascii="Arial" w:eastAsia="Arial" w:hAnsi="Arial" w:cs="Arial"/>
          <w:sz w:val="20"/>
          <w:szCs w:val="20"/>
        </w:rPr>
      </w:pPr>
    </w:p>
    <w:p w14:paraId="7132D62D" w14:textId="0698047A" w:rsidR="00EC4A8C" w:rsidRPr="005B6AF1" w:rsidRDefault="00EC4A8C" w:rsidP="005B6AF1">
      <w:pPr>
        <w:tabs>
          <w:tab w:val="left" w:pos="851"/>
        </w:tabs>
        <w:spacing w:before="120" w:after="120"/>
        <w:ind w:left="2268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6AF1">
        <w:rPr>
          <w:rFonts w:ascii="Arial" w:hAnsi="Arial" w:cs="Arial"/>
          <w:bCs/>
          <w:color w:val="000000"/>
          <w:sz w:val="20"/>
          <w:szCs w:val="20"/>
        </w:rPr>
        <w:t xml:space="preserve">Art. 61. É facultado ao Tribunal Pleno, em qualquer etapa do processo, autorizar o recolhimento do débito ou da multa em até 48 parcelas mensais e sucessivas. </w:t>
      </w:r>
    </w:p>
    <w:p w14:paraId="464F5E47" w14:textId="77777777" w:rsidR="00EC4A8C" w:rsidRPr="005B6AF1" w:rsidRDefault="00EC4A8C" w:rsidP="005B6AF1">
      <w:pPr>
        <w:tabs>
          <w:tab w:val="left" w:pos="851"/>
        </w:tabs>
        <w:spacing w:before="120" w:after="120"/>
        <w:ind w:left="2268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6AF1">
        <w:rPr>
          <w:rFonts w:ascii="Arial" w:hAnsi="Arial" w:cs="Arial"/>
          <w:bCs/>
          <w:color w:val="000000"/>
          <w:sz w:val="20"/>
          <w:szCs w:val="20"/>
        </w:rPr>
        <w:t>§ 1º Após a publicação da decisão, o Presidente do Tribunal pode autorizar o pagamento parcelado do débito imputado ou das multas cominadas, na forma prevista no caput mediante requerimento do interessado.</w:t>
      </w:r>
    </w:p>
    <w:p w14:paraId="6DE0B337" w14:textId="62B06847" w:rsidR="00EC4A8C" w:rsidRPr="005B6AF1" w:rsidRDefault="00D63A06" w:rsidP="005B6AF1">
      <w:pPr>
        <w:tabs>
          <w:tab w:val="left" w:pos="851"/>
        </w:tabs>
        <w:spacing w:before="120" w:after="120"/>
        <w:ind w:left="2268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6AF1">
        <w:rPr>
          <w:rFonts w:ascii="Arial" w:hAnsi="Arial" w:cs="Arial"/>
          <w:bCs/>
          <w:color w:val="000000"/>
          <w:sz w:val="20"/>
          <w:szCs w:val="20"/>
        </w:rPr>
        <w:t>[...]</w:t>
      </w:r>
    </w:p>
    <w:p w14:paraId="665D7DEE" w14:textId="77777777" w:rsidR="00560909" w:rsidRPr="005B6AF1" w:rsidRDefault="00560909" w:rsidP="00EC4A8C">
      <w:pPr>
        <w:tabs>
          <w:tab w:val="left" w:pos="851"/>
        </w:tabs>
        <w:spacing w:before="120" w:after="120"/>
        <w:ind w:firstLine="851"/>
        <w:jc w:val="both"/>
        <w:rPr>
          <w:rFonts w:ascii="Arial" w:eastAsia="Arial" w:hAnsi="Arial" w:cs="Arial"/>
          <w:sz w:val="20"/>
          <w:szCs w:val="20"/>
        </w:rPr>
      </w:pPr>
    </w:p>
    <w:p w14:paraId="6048349F" w14:textId="6D8B75FB" w:rsidR="00EC4A8C" w:rsidRPr="006A1F46" w:rsidRDefault="00764F7B" w:rsidP="00EC4A8C">
      <w:pPr>
        <w:tabs>
          <w:tab w:val="left" w:pos="851"/>
        </w:tabs>
        <w:spacing w:before="120" w:after="120"/>
        <w:ind w:firstLine="85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13 </w:t>
      </w:r>
      <w:r w:rsidR="00974202">
        <w:rPr>
          <w:rFonts w:ascii="Arial" w:eastAsia="Arial" w:hAnsi="Arial" w:cs="Arial"/>
          <w:sz w:val="22"/>
          <w:szCs w:val="22"/>
        </w:rPr>
        <w:t>Após</w:t>
      </w:r>
      <w:r w:rsidR="00EC4A8C">
        <w:rPr>
          <w:rFonts w:ascii="Arial" w:eastAsia="Arial" w:hAnsi="Arial" w:cs="Arial"/>
          <w:sz w:val="22"/>
          <w:szCs w:val="22"/>
        </w:rPr>
        <w:t xml:space="preserve"> o parcelamento, e a pedido do interessado, o T</w:t>
      </w:r>
      <w:r w:rsidR="003743B3">
        <w:rPr>
          <w:rFonts w:ascii="Arial" w:eastAsia="Arial" w:hAnsi="Arial" w:cs="Arial"/>
          <w:sz w:val="22"/>
          <w:szCs w:val="22"/>
        </w:rPr>
        <w:t>CE</w:t>
      </w:r>
      <w:r w:rsidR="00EC4A8C">
        <w:rPr>
          <w:rFonts w:ascii="Arial" w:eastAsia="Arial" w:hAnsi="Arial" w:cs="Arial"/>
          <w:sz w:val="22"/>
          <w:szCs w:val="22"/>
        </w:rPr>
        <w:t xml:space="preserve"> pode emitir uma certidão </w:t>
      </w:r>
      <w:r w:rsidR="00EC4A8C" w:rsidRPr="006A1F46">
        <w:rPr>
          <w:rFonts w:ascii="Arial" w:eastAsia="Arial" w:hAnsi="Arial" w:cs="Arial"/>
          <w:sz w:val="22"/>
          <w:szCs w:val="22"/>
        </w:rPr>
        <w:t>positiva</w:t>
      </w:r>
      <w:r w:rsidR="007C6C9E" w:rsidRPr="006A1F46">
        <w:rPr>
          <w:rFonts w:ascii="Arial" w:eastAsia="Arial" w:hAnsi="Arial" w:cs="Arial"/>
          <w:sz w:val="22"/>
          <w:szCs w:val="22"/>
        </w:rPr>
        <w:t xml:space="preserve"> de d</w:t>
      </w:r>
      <w:r w:rsidR="00974202" w:rsidRPr="006A1F46">
        <w:rPr>
          <w:rFonts w:ascii="Arial" w:eastAsia="Arial" w:hAnsi="Arial" w:cs="Arial"/>
          <w:sz w:val="22"/>
          <w:szCs w:val="22"/>
        </w:rPr>
        <w:t>é</w:t>
      </w:r>
      <w:r w:rsidR="007C6C9E" w:rsidRPr="006A1F46">
        <w:rPr>
          <w:rFonts w:ascii="Arial" w:eastAsia="Arial" w:hAnsi="Arial" w:cs="Arial"/>
          <w:sz w:val="22"/>
          <w:szCs w:val="22"/>
        </w:rPr>
        <w:t>bitos</w:t>
      </w:r>
      <w:r w:rsidR="00974202" w:rsidRPr="006A1F46">
        <w:rPr>
          <w:rFonts w:ascii="Arial" w:eastAsia="Arial" w:hAnsi="Arial" w:cs="Arial"/>
          <w:sz w:val="22"/>
          <w:szCs w:val="22"/>
        </w:rPr>
        <w:t xml:space="preserve"> </w:t>
      </w:r>
      <w:r w:rsidR="00EC4A8C" w:rsidRPr="006A1F46">
        <w:rPr>
          <w:rFonts w:ascii="Arial" w:eastAsia="Arial" w:hAnsi="Arial" w:cs="Arial"/>
          <w:sz w:val="22"/>
          <w:szCs w:val="22"/>
        </w:rPr>
        <w:t>com efeito de negativa</w:t>
      </w:r>
      <w:r w:rsidR="005E2899" w:rsidRPr="006A1F46">
        <w:rPr>
          <w:rFonts w:ascii="Arial" w:eastAsia="Arial" w:hAnsi="Arial" w:cs="Arial"/>
          <w:sz w:val="22"/>
          <w:szCs w:val="22"/>
        </w:rPr>
        <w:t>, com validade de 30 dias</w:t>
      </w:r>
      <w:r w:rsidR="00EC4A8C" w:rsidRPr="006A1F46">
        <w:rPr>
          <w:rFonts w:ascii="Arial" w:eastAsia="Arial" w:hAnsi="Arial" w:cs="Arial"/>
          <w:sz w:val="22"/>
          <w:szCs w:val="22"/>
        </w:rPr>
        <w:t>, onde informa que o débito está inscrito em dívida ativa</w:t>
      </w:r>
      <w:r w:rsidR="0056658C" w:rsidRPr="006A1F46">
        <w:rPr>
          <w:rFonts w:ascii="Arial" w:eastAsia="Arial" w:hAnsi="Arial" w:cs="Arial"/>
          <w:sz w:val="22"/>
          <w:szCs w:val="22"/>
        </w:rPr>
        <w:t xml:space="preserve"> na Secretaria de Estado da Fazenda</w:t>
      </w:r>
      <w:r w:rsidR="00EC4A8C" w:rsidRPr="006A1F46">
        <w:rPr>
          <w:rFonts w:ascii="Arial" w:eastAsia="Arial" w:hAnsi="Arial" w:cs="Arial"/>
          <w:sz w:val="22"/>
          <w:szCs w:val="22"/>
        </w:rPr>
        <w:t xml:space="preserve"> e </w:t>
      </w:r>
      <w:r w:rsidR="005E2899" w:rsidRPr="006A1F46">
        <w:rPr>
          <w:rFonts w:ascii="Arial" w:eastAsia="Arial" w:hAnsi="Arial" w:cs="Arial"/>
          <w:sz w:val="22"/>
          <w:szCs w:val="22"/>
        </w:rPr>
        <w:t xml:space="preserve">que </w:t>
      </w:r>
      <w:r w:rsidR="00EC4A8C" w:rsidRPr="006A1F46">
        <w:rPr>
          <w:rFonts w:ascii="Arial" w:eastAsia="Arial" w:hAnsi="Arial" w:cs="Arial"/>
          <w:sz w:val="22"/>
          <w:szCs w:val="22"/>
        </w:rPr>
        <w:t>o beneficiário está em dia com o pagamento das parcelas.</w:t>
      </w:r>
    </w:p>
    <w:p w14:paraId="4D17AA7A" w14:textId="1A3A1FAA" w:rsidR="00EC4A8C" w:rsidRPr="006A1F46" w:rsidRDefault="00764F7B" w:rsidP="00EC4A8C">
      <w:pPr>
        <w:tabs>
          <w:tab w:val="left" w:pos="851"/>
        </w:tabs>
        <w:spacing w:before="120" w:after="120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6A1F46">
        <w:rPr>
          <w:rFonts w:ascii="Arial" w:eastAsia="Arial" w:hAnsi="Arial" w:cs="Arial"/>
          <w:sz w:val="22"/>
          <w:szCs w:val="22"/>
        </w:rPr>
        <w:t xml:space="preserve">14 </w:t>
      </w:r>
      <w:r w:rsidR="00EC4A8C" w:rsidRPr="006A1F46">
        <w:rPr>
          <w:rFonts w:ascii="Arial" w:eastAsia="Arial" w:hAnsi="Arial" w:cs="Arial"/>
          <w:sz w:val="22"/>
          <w:szCs w:val="22"/>
        </w:rPr>
        <w:t xml:space="preserve">A cada mês, o beneficiário deverá enviar a certidão atualizada à Gerência de Recursos Antecipados, onde será cadastrada uma exceção no SIGEF, que suspenderá o bloqueio durante o período de validade da certidão. </w:t>
      </w:r>
    </w:p>
    <w:p w14:paraId="6B0BE47C" w14:textId="42DD6B70" w:rsidR="00EC4A8C" w:rsidRPr="006A1F46" w:rsidRDefault="00764F7B" w:rsidP="005B6AF1">
      <w:pPr>
        <w:tabs>
          <w:tab w:val="left" w:pos="851"/>
        </w:tabs>
        <w:spacing w:before="120" w:after="120"/>
        <w:ind w:firstLine="851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A1F46">
        <w:rPr>
          <w:rFonts w:ascii="Arial" w:eastAsia="Arial" w:hAnsi="Arial" w:cs="Arial"/>
          <w:sz w:val="22"/>
          <w:szCs w:val="22"/>
        </w:rPr>
        <w:t xml:space="preserve">15 </w:t>
      </w:r>
      <w:r w:rsidR="00EC4A8C" w:rsidRPr="006A1F46">
        <w:rPr>
          <w:rFonts w:ascii="Arial" w:eastAsia="Arial" w:hAnsi="Arial" w:cs="Arial"/>
          <w:sz w:val="22"/>
          <w:szCs w:val="22"/>
        </w:rPr>
        <w:t xml:space="preserve">Para os casos em que os processos não são enviados ao TCE, nos casos acima expostos, aplica-se </w:t>
      </w:r>
      <w:r w:rsidR="00EC4A8C" w:rsidRPr="006A1F46">
        <w:rPr>
          <w:rFonts w:ascii="Arial" w:hAnsi="Arial" w:cs="Arial"/>
          <w:bCs/>
          <w:color w:val="000000"/>
          <w:sz w:val="22"/>
          <w:szCs w:val="22"/>
        </w:rPr>
        <w:t>o § 3º do artigo 47 da Instrução Normativa n. TC 33-2024</w:t>
      </w:r>
      <w:r w:rsidR="00035CD5" w:rsidRPr="006A1F46">
        <w:rPr>
          <w:rFonts w:ascii="Arial" w:hAnsi="Arial" w:cs="Arial"/>
          <w:bCs/>
          <w:color w:val="000000"/>
          <w:sz w:val="22"/>
          <w:szCs w:val="22"/>
        </w:rPr>
        <w:t>, que determina: “</w:t>
      </w:r>
      <w:r w:rsidR="00EC4A8C" w:rsidRPr="006A1F46">
        <w:rPr>
          <w:rFonts w:ascii="Arial" w:hAnsi="Arial" w:cs="Arial"/>
          <w:bCs/>
          <w:color w:val="000000"/>
          <w:sz w:val="22"/>
          <w:szCs w:val="22"/>
        </w:rPr>
        <w:t>O disposto nos incisos II e IV deste artigo não exime a autoridade da adoção de medidas administrativas e/ou judiciais para a reparação do erário, sob pena de responsabilidade solidária</w:t>
      </w:r>
      <w:r w:rsidR="00035CD5" w:rsidRPr="006A1F46">
        <w:rPr>
          <w:rFonts w:ascii="Arial" w:hAnsi="Arial" w:cs="Arial"/>
          <w:bCs/>
          <w:color w:val="000000"/>
          <w:sz w:val="22"/>
          <w:szCs w:val="22"/>
        </w:rPr>
        <w:t>”</w:t>
      </w:r>
      <w:r w:rsidR="00EC4A8C" w:rsidRPr="006A1F46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24966ED" w14:textId="436F87BF" w:rsidR="00EC4A8C" w:rsidRPr="006A1F46" w:rsidRDefault="00764F7B" w:rsidP="00EC4A8C">
      <w:pPr>
        <w:tabs>
          <w:tab w:val="left" w:pos="851"/>
        </w:tabs>
        <w:spacing w:before="120" w:after="120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6A1F46">
        <w:rPr>
          <w:rFonts w:ascii="Arial" w:eastAsia="Arial" w:hAnsi="Arial" w:cs="Arial"/>
          <w:sz w:val="22"/>
          <w:szCs w:val="22"/>
        </w:rPr>
        <w:t xml:space="preserve">16 </w:t>
      </w:r>
      <w:r w:rsidR="00EC4A8C" w:rsidRPr="006A1F46">
        <w:rPr>
          <w:rFonts w:ascii="Arial" w:eastAsia="Arial" w:hAnsi="Arial" w:cs="Arial"/>
          <w:sz w:val="22"/>
          <w:szCs w:val="22"/>
        </w:rPr>
        <w:t xml:space="preserve">Nesses casos, </w:t>
      </w:r>
      <w:proofErr w:type="gramStart"/>
      <w:r w:rsidR="00EC4A8C" w:rsidRPr="006A1F46">
        <w:rPr>
          <w:rFonts w:ascii="Arial" w:eastAsia="Arial" w:hAnsi="Arial" w:cs="Arial"/>
          <w:sz w:val="22"/>
          <w:szCs w:val="22"/>
        </w:rPr>
        <w:t>o concedente</w:t>
      </w:r>
      <w:proofErr w:type="gramEnd"/>
      <w:r w:rsidR="00EC4A8C" w:rsidRPr="006A1F46">
        <w:rPr>
          <w:rFonts w:ascii="Arial" w:eastAsia="Arial" w:hAnsi="Arial" w:cs="Arial"/>
          <w:sz w:val="22"/>
          <w:szCs w:val="22"/>
        </w:rPr>
        <w:t xml:space="preserve"> deve enviar o débito atualizado à Secretaria de Estado da Fazenda</w:t>
      </w:r>
      <w:r w:rsidR="005E2899" w:rsidRPr="006A1F46">
        <w:rPr>
          <w:rFonts w:ascii="Arial" w:eastAsia="Arial" w:hAnsi="Arial" w:cs="Arial"/>
          <w:sz w:val="22"/>
          <w:szCs w:val="22"/>
        </w:rPr>
        <w:t xml:space="preserve"> (SEF)</w:t>
      </w:r>
      <w:r w:rsidR="00EC4A8C" w:rsidRPr="006A1F46">
        <w:rPr>
          <w:rFonts w:ascii="Arial" w:eastAsia="Arial" w:hAnsi="Arial" w:cs="Arial"/>
          <w:sz w:val="22"/>
          <w:szCs w:val="22"/>
        </w:rPr>
        <w:t xml:space="preserve"> para inscrição em dívida ativa. Uma vez inscrita a dívida, o beneficiário poderá solicitar o parcelamento do débito</w:t>
      </w:r>
      <w:r w:rsidR="009F1AAA" w:rsidRPr="006A1F46">
        <w:rPr>
          <w:rFonts w:ascii="Arial" w:eastAsia="Arial" w:hAnsi="Arial" w:cs="Arial"/>
          <w:sz w:val="22"/>
          <w:szCs w:val="22"/>
        </w:rPr>
        <w:t xml:space="preserve"> à Diretoria de Administração Tributária (DIAT), Gerência de Arrecadação (GERAR) da SEF</w:t>
      </w:r>
      <w:r w:rsidR="00EC4A8C" w:rsidRPr="006A1F46">
        <w:rPr>
          <w:rFonts w:ascii="Arial" w:eastAsia="Arial" w:hAnsi="Arial" w:cs="Arial"/>
          <w:sz w:val="22"/>
          <w:szCs w:val="22"/>
        </w:rPr>
        <w:t>.</w:t>
      </w:r>
    </w:p>
    <w:p w14:paraId="14FE71EF" w14:textId="366EC09A" w:rsidR="00EC4A8C" w:rsidRPr="006A1F46" w:rsidRDefault="00764F7B" w:rsidP="00EC4A8C">
      <w:pPr>
        <w:tabs>
          <w:tab w:val="left" w:pos="851"/>
        </w:tabs>
        <w:spacing w:before="120" w:after="120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6A1F46">
        <w:rPr>
          <w:rFonts w:ascii="Arial" w:eastAsia="Arial" w:hAnsi="Arial" w:cs="Arial"/>
          <w:sz w:val="22"/>
          <w:szCs w:val="22"/>
        </w:rPr>
        <w:t xml:space="preserve">17 </w:t>
      </w:r>
      <w:r w:rsidR="00EC4A8C" w:rsidRPr="006A1F46">
        <w:rPr>
          <w:rFonts w:ascii="Arial" w:eastAsia="Arial" w:hAnsi="Arial" w:cs="Arial"/>
          <w:sz w:val="22"/>
          <w:szCs w:val="22"/>
        </w:rPr>
        <w:t>Após a concessão do parcelamento e o pagamento da primeira parcela</w:t>
      </w:r>
      <w:r w:rsidR="001846B7" w:rsidRPr="006A1F46">
        <w:rPr>
          <w:rFonts w:ascii="Arial" w:eastAsia="Arial" w:hAnsi="Arial" w:cs="Arial"/>
          <w:sz w:val="22"/>
          <w:szCs w:val="22"/>
        </w:rPr>
        <w:t>, a pedido do interessado</w:t>
      </w:r>
      <w:r w:rsidR="00EC4A8C" w:rsidRPr="006A1F46">
        <w:rPr>
          <w:rFonts w:ascii="Arial" w:eastAsia="Arial" w:hAnsi="Arial" w:cs="Arial"/>
          <w:sz w:val="22"/>
          <w:szCs w:val="22"/>
        </w:rPr>
        <w:t xml:space="preserve"> a SEF</w:t>
      </w:r>
      <w:r w:rsidR="001846B7" w:rsidRPr="006A1F46">
        <w:rPr>
          <w:rFonts w:ascii="Arial" w:eastAsia="Arial" w:hAnsi="Arial" w:cs="Arial"/>
          <w:sz w:val="22"/>
          <w:szCs w:val="22"/>
        </w:rPr>
        <w:t xml:space="preserve"> pode</w:t>
      </w:r>
      <w:r w:rsidR="00EC4A8C" w:rsidRPr="006A1F46">
        <w:rPr>
          <w:rFonts w:ascii="Arial" w:eastAsia="Arial" w:hAnsi="Arial" w:cs="Arial"/>
          <w:sz w:val="22"/>
          <w:szCs w:val="22"/>
        </w:rPr>
        <w:t xml:space="preserve"> emit</w:t>
      </w:r>
      <w:r w:rsidR="001846B7" w:rsidRPr="006A1F46">
        <w:rPr>
          <w:rFonts w:ascii="Arial" w:eastAsia="Arial" w:hAnsi="Arial" w:cs="Arial"/>
          <w:sz w:val="22"/>
          <w:szCs w:val="22"/>
        </w:rPr>
        <w:t>ir</w:t>
      </w:r>
      <w:r w:rsidR="00CF2E0F">
        <w:rPr>
          <w:rFonts w:ascii="Arial" w:eastAsia="Arial" w:hAnsi="Arial" w:cs="Arial"/>
          <w:sz w:val="22"/>
          <w:szCs w:val="22"/>
        </w:rPr>
        <w:t xml:space="preserve"> </w:t>
      </w:r>
      <w:r w:rsidR="00EC4A8C" w:rsidRPr="006A1F46">
        <w:rPr>
          <w:rFonts w:ascii="Arial" w:eastAsia="Arial" w:hAnsi="Arial" w:cs="Arial"/>
          <w:sz w:val="22"/>
          <w:szCs w:val="22"/>
        </w:rPr>
        <w:t>uma certidão positiva</w:t>
      </w:r>
      <w:r w:rsidR="007C6C9E" w:rsidRPr="006A1F46">
        <w:rPr>
          <w:rFonts w:ascii="Arial" w:eastAsia="Arial" w:hAnsi="Arial" w:cs="Arial"/>
          <w:sz w:val="22"/>
          <w:szCs w:val="22"/>
        </w:rPr>
        <w:t xml:space="preserve"> de débitos</w:t>
      </w:r>
      <w:r w:rsidR="00EC4A8C" w:rsidRPr="006A1F46">
        <w:rPr>
          <w:rFonts w:ascii="Arial" w:eastAsia="Arial" w:hAnsi="Arial" w:cs="Arial"/>
          <w:sz w:val="22"/>
          <w:szCs w:val="22"/>
        </w:rPr>
        <w:t xml:space="preserve"> com efeito</w:t>
      </w:r>
      <w:r w:rsidR="003B0AE0" w:rsidRPr="006A1F46">
        <w:rPr>
          <w:rFonts w:ascii="Arial" w:eastAsia="Arial" w:hAnsi="Arial" w:cs="Arial"/>
          <w:sz w:val="22"/>
          <w:szCs w:val="22"/>
        </w:rPr>
        <w:t xml:space="preserve"> </w:t>
      </w:r>
      <w:r w:rsidR="00EC4A8C" w:rsidRPr="006A1F46">
        <w:rPr>
          <w:rFonts w:ascii="Arial" w:eastAsia="Arial" w:hAnsi="Arial" w:cs="Arial"/>
          <w:sz w:val="22"/>
          <w:szCs w:val="22"/>
        </w:rPr>
        <w:t xml:space="preserve">de negativa, </w:t>
      </w:r>
      <w:r w:rsidR="009F1AAA" w:rsidRPr="006A1F46">
        <w:rPr>
          <w:rFonts w:ascii="Arial" w:eastAsia="Arial" w:hAnsi="Arial" w:cs="Arial"/>
          <w:sz w:val="22"/>
          <w:szCs w:val="22"/>
        </w:rPr>
        <w:t xml:space="preserve">com validade de </w:t>
      </w:r>
      <w:r w:rsidR="001846B7" w:rsidRPr="006A1F46">
        <w:rPr>
          <w:rFonts w:ascii="Arial" w:eastAsia="Arial" w:hAnsi="Arial" w:cs="Arial"/>
          <w:sz w:val="22"/>
          <w:szCs w:val="22"/>
        </w:rPr>
        <w:t xml:space="preserve">6 meses, </w:t>
      </w:r>
      <w:r w:rsidR="00EC4A8C" w:rsidRPr="006A1F46">
        <w:rPr>
          <w:rFonts w:ascii="Arial" w:eastAsia="Arial" w:hAnsi="Arial" w:cs="Arial"/>
          <w:sz w:val="22"/>
          <w:szCs w:val="22"/>
        </w:rPr>
        <w:t>que deverá ser enviada à Gerência de Recursos Antecipados, da Controladoria Geral do Estado, onde será cadastrada uma exceção, que suspenderá o bloqueio.</w:t>
      </w:r>
      <w:r w:rsidR="001846B7" w:rsidRPr="006A1F46">
        <w:rPr>
          <w:rFonts w:ascii="Arial" w:eastAsia="Arial" w:hAnsi="Arial" w:cs="Arial"/>
          <w:sz w:val="22"/>
          <w:szCs w:val="22"/>
        </w:rPr>
        <w:t xml:space="preserve"> </w:t>
      </w:r>
    </w:p>
    <w:p w14:paraId="1D9670C7" w14:textId="35A6E6BC" w:rsidR="001846B7" w:rsidRPr="003C4BCF" w:rsidRDefault="00764F7B" w:rsidP="001846B7">
      <w:pPr>
        <w:tabs>
          <w:tab w:val="left" w:pos="851"/>
        </w:tabs>
        <w:spacing w:before="120" w:after="120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6A1F46">
        <w:rPr>
          <w:rFonts w:ascii="Arial" w:eastAsia="Arial" w:hAnsi="Arial" w:cs="Arial"/>
          <w:sz w:val="22"/>
          <w:szCs w:val="22"/>
        </w:rPr>
        <w:t xml:space="preserve">18 </w:t>
      </w:r>
      <w:r w:rsidR="001846B7" w:rsidRPr="006A1F46">
        <w:rPr>
          <w:rFonts w:ascii="Arial" w:eastAsia="Arial" w:hAnsi="Arial" w:cs="Arial"/>
          <w:sz w:val="22"/>
          <w:szCs w:val="22"/>
        </w:rPr>
        <w:t xml:space="preserve">A cada 6 meses </w:t>
      </w:r>
      <w:proofErr w:type="gramStart"/>
      <w:r w:rsidR="001846B7" w:rsidRPr="006A1F46">
        <w:rPr>
          <w:rFonts w:ascii="Arial" w:eastAsia="Arial" w:hAnsi="Arial" w:cs="Arial"/>
          <w:sz w:val="22"/>
          <w:szCs w:val="22"/>
        </w:rPr>
        <w:t xml:space="preserve">o </w:t>
      </w:r>
      <w:r w:rsidR="0056658C" w:rsidRPr="006A1F46">
        <w:rPr>
          <w:rFonts w:ascii="Arial" w:eastAsia="Arial" w:hAnsi="Arial" w:cs="Arial"/>
          <w:sz w:val="22"/>
          <w:szCs w:val="22"/>
        </w:rPr>
        <w:t>concedente</w:t>
      </w:r>
      <w:proofErr w:type="gramEnd"/>
      <w:r w:rsidR="001846B7" w:rsidRPr="006A1F46">
        <w:rPr>
          <w:rFonts w:ascii="Arial" w:eastAsia="Arial" w:hAnsi="Arial" w:cs="Arial"/>
          <w:sz w:val="22"/>
          <w:szCs w:val="22"/>
        </w:rPr>
        <w:t xml:space="preserve"> deverá enviar a certidão atualizada à Gerência de Recursos Antecipados. Caso o beneficiário suspenda o pagamento e a exceção ainda esteja vigente, o beneficiário ficará automaticamente bloqueado no </w:t>
      </w:r>
      <w:r w:rsidR="003B0AE0" w:rsidRPr="006A1F46">
        <w:rPr>
          <w:rFonts w:ascii="Arial" w:eastAsia="Arial" w:hAnsi="Arial" w:cs="Arial"/>
          <w:sz w:val="22"/>
          <w:szCs w:val="22"/>
        </w:rPr>
        <w:t xml:space="preserve">DART – </w:t>
      </w:r>
      <w:r w:rsidR="0056658C" w:rsidRPr="006A1F46">
        <w:rPr>
          <w:rFonts w:ascii="Arial" w:eastAsia="Arial" w:hAnsi="Arial" w:cs="Arial"/>
          <w:sz w:val="22"/>
          <w:szCs w:val="22"/>
        </w:rPr>
        <w:t xml:space="preserve">Demonstrativo de Atendimento aos requisitos para Transferências, </w:t>
      </w:r>
      <w:r w:rsidR="001846B7" w:rsidRPr="006A1F46">
        <w:rPr>
          <w:rFonts w:ascii="Arial" w:eastAsia="Arial" w:hAnsi="Arial" w:cs="Arial"/>
          <w:sz w:val="22"/>
          <w:szCs w:val="22"/>
        </w:rPr>
        <w:t>por conta do</w:t>
      </w:r>
      <w:r w:rsidR="001846B7">
        <w:rPr>
          <w:rFonts w:ascii="Arial" w:eastAsia="Arial" w:hAnsi="Arial" w:cs="Arial"/>
          <w:sz w:val="22"/>
          <w:szCs w:val="22"/>
        </w:rPr>
        <w:t xml:space="preserve"> item “</w:t>
      </w:r>
      <w:r w:rsidR="001846B7" w:rsidRPr="001846B7">
        <w:rPr>
          <w:rFonts w:ascii="Arial" w:eastAsia="Arial" w:hAnsi="Arial" w:cs="Arial"/>
          <w:sz w:val="22"/>
          <w:szCs w:val="22"/>
        </w:rPr>
        <w:t xml:space="preserve">Regularidade quanto aos Tributos e Demais Débitos Administrados pela SEF </w:t>
      </w:r>
      <w:r w:rsidR="001846B7">
        <w:rPr>
          <w:rFonts w:ascii="Arial" w:eastAsia="Arial" w:hAnsi="Arial" w:cs="Arial"/>
          <w:sz w:val="22"/>
          <w:szCs w:val="22"/>
        </w:rPr>
        <w:t>–</w:t>
      </w:r>
      <w:r w:rsidR="001846B7" w:rsidRPr="001846B7">
        <w:rPr>
          <w:rFonts w:ascii="Arial" w:eastAsia="Arial" w:hAnsi="Arial" w:cs="Arial"/>
          <w:sz w:val="22"/>
          <w:szCs w:val="22"/>
        </w:rPr>
        <w:t xml:space="preserve"> SAT</w:t>
      </w:r>
      <w:r w:rsidR="001846B7">
        <w:rPr>
          <w:rFonts w:ascii="Arial" w:eastAsia="Arial" w:hAnsi="Arial" w:cs="Arial"/>
          <w:sz w:val="22"/>
          <w:szCs w:val="22"/>
        </w:rPr>
        <w:t>”. Desta forma, ficará impedido de receber novos recursos estaduais.</w:t>
      </w:r>
    </w:p>
    <w:p w14:paraId="4823815D" w14:textId="39C6D1A2" w:rsidR="00FF252D" w:rsidRDefault="00CB6720" w:rsidP="00FF252D">
      <w:pPr>
        <w:tabs>
          <w:tab w:val="left" w:pos="851"/>
        </w:tabs>
        <w:spacing w:before="120" w:after="120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635C">
        <w:rPr>
          <w:rStyle w:val="Refdecomentrio"/>
          <w:rFonts w:ascii="Arial" w:hAnsi="Arial" w:cs="Arial"/>
          <w:sz w:val="22"/>
          <w:szCs w:val="22"/>
        </w:rPr>
        <w:t>19</w:t>
      </w:r>
      <w:r w:rsidR="00764F7B">
        <w:rPr>
          <w:rFonts w:ascii="Arial" w:eastAsia="Arial" w:hAnsi="Arial" w:cs="Arial"/>
          <w:sz w:val="22"/>
          <w:szCs w:val="22"/>
        </w:rPr>
        <w:t xml:space="preserve"> </w:t>
      </w:r>
      <w:r w:rsidR="00FF252D">
        <w:rPr>
          <w:rFonts w:ascii="Arial" w:eastAsia="Arial" w:hAnsi="Arial" w:cs="Arial"/>
          <w:sz w:val="22"/>
          <w:szCs w:val="22"/>
        </w:rPr>
        <w:t>Após finalizar o pagamento</w:t>
      </w:r>
      <w:r w:rsidR="00B81A09">
        <w:rPr>
          <w:rFonts w:ascii="Arial" w:eastAsia="Arial" w:hAnsi="Arial" w:cs="Arial"/>
          <w:sz w:val="22"/>
          <w:szCs w:val="22"/>
        </w:rPr>
        <w:t xml:space="preserve"> integral do valor devido,</w:t>
      </w:r>
      <w:r w:rsidR="00FF252D">
        <w:rPr>
          <w:rFonts w:ascii="Arial" w:eastAsia="Arial" w:hAnsi="Arial" w:cs="Arial"/>
          <w:sz w:val="22"/>
          <w:szCs w:val="22"/>
        </w:rPr>
        <w:t xml:space="preserve"> </w:t>
      </w:r>
      <w:r w:rsidR="00FF252D" w:rsidRPr="005B6AF1">
        <w:rPr>
          <w:rFonts w:ascii="Arial" w:eastAsia="Arial" w:hAnsi="Arial" w:cs="Arial"/>
          <w:b/>
          <w:bCs/>
          <w:sz w:val="22"/>
          <w:szCs w:val="22"/>
        </w:rPr>
        <w:t>o beneficiário</w:t>
      </w:r>
      <w:r w:rsidR="00FF252D">
        <w:rPr>
          <w:rFonts w:ascii="Arial" w:eastAsia="Arial" w:hAnsi="Arial" w:cs="Arial"/>
          <w:sz w:val="22"/>
          <w:szCs w:val="22"/>
        </w:rPr>
        <w:t xml:space="preserve"> deve enviar a comprovação de quitação do débito </w:t>
      </w:r>
      <w:proofErr w:type="gramStart"/>
      <w:r w:rsidR="00FF252D">
        <w:rPr>
          <w:rFonts w:ascii="Arial" w:eastAsia="Arial" w:hAnsi="Arial" w:cs="Arial"/>
          <w:sz w:val="22"/>
          <w:szCs w:val="22"/>
        </w:rPr>
        <w:t>ao concedente</w:t>
      </w:r>
      <w:proofErr w:type="gramEnd"/>
      <w:r w:rsidR="00FF252D">
        <w:rPr>
          <w:rFonts w:ascii="Arial" w:eastAsia="Arial" w:hAnsi="Arial" w:cs="Arial"/>
          <w:sz w:val="22"/>
          <w:szCs w:val="22"/>
        </w:rPr>
        <w:t xml:space="preserve">, </w:t>
      </w:r>
      <w:r w:rsidR="00837D8D">
        <w:rPr>
          <w:rFonts w:ascii="Arial" w:eastAsia="Arial" w:hAnsi="Arial" w:cs="Arial"/>
          <w:sz w:val="22"/>
          <w:szCs w:val="22"/>
        </w:rPr>
        <w:t xml:space="preserve">por meio de uma certidão negativa de débitos, </w:t>
      </w:r>
      <w:r w:rsidR="00FF252D">
        <w:rPr>
          <w:rFonts w:ascii="Arial" w:eastAsia="Arial" w:hAnsi="Arial" w:cs="Arial"/>
          <w:sz w:val="22"/>
          <w:szCs w:val="22"/>
        </w:rPr>
        <w:t>e o setor de prestação de contas</w:t>
      </w:r>
      <w:r w:rsidR="001E423F">
        <w:rPr>
          <w:rFonts w:ascii="Arial" w:eastAsia="Arial" w:hAnsi="Arial" w:cs="Arial"/>
          <w:sz w:val="22"/>
          <w:szCs w:val="22"/>
        </w:rPr>
        <w:t xml:space="preserve"> do órgão </w:t>
      </w:r>
      <w:r w:rsidR="00FF252D">
        <w:rPr>
          <w:rFonts w:ascii="Arial" w:eastAsia="Arial" w:hAnsi="Arial" w:cs="Arial"/>
          <w:sz w:val="22"/>
          <w:szCs w:val="22"/>
        </w:rPr>
        <w:t>deve alterar a situação da prestação de contas no SIGEF de irregular para regular com ressalvas.</w:t>
      </w:r>
    </w:p>
    <w:p w14:paraId="1AD2A9D8" w14:textId="77777777" w:rsidR="00A61D6A" w:rsidRDefault="00A61D6A" w:rsidP="00B7228E">
      <w:pPr>
        <w:tabs>
          <w:tab w:val="left" w:pos="851"/>
        </w:tabs>
        <w:jc w:val="both"/>
        <w:rPr>
          <w:rFonts w:ascii="Arial" w:hAnsi="Arial" w:cs="Arial"/>
          <w:b/>
          <w:sz w:val="22"/>
          <w:szCs w:val="22"/>
        </w:rPr>
      </w:pPr>
    </w:p>
    <w:p w14:paraId="182DAB20" w14:textId="77777777" w:rsidR="006A1F46" w:rsidRDefault="006A1F46" w:rsidP="00B7228E">
      <w:pPr>
        <w:tabs>
          <w:tab w:val="left" w:pos="851"/>
        </w:tabs>
        <w:jc w:val="both"/>
        <w:rPr>
          <w:rFonts w:ascii="Arial" w:hAnsi="Arial" w:cs="Arial"/>
          <w:b/>
          <w:sz w:val="22"/>
          <w:szCs w:val="22"/>
        </w:rPr>
      </w:pPr>
    </w:p>
    <w:p w14:paraId="0E1BD206" w14:textId="0D864B0E" w:rsidR="00190CD4" w:rsidRDefault="00390FC4" w:rsidP="00BF635C">
      <w:pPr>
        <w:tabs>
          <w:tab w:val="left" w:pos="851"/>
        </w:tabs>
        <w:ind w:firstLine="851"/>
        <w:jc w:val="both"/>
        <w:rPr>
          <w:rFonts w:ascii="Arial" w:hAnsi="Arial" w:cs="Arial"/>
          <w:sz w:val="22"/>
          <w:szCs w:val="22"/>
        </w:rPr>
      </w:pPr>
      <w:r w:rsidRPr="009B6276">
        <w:rPr>
          <w:rFonts w:ascii="Arial" w:hAnsi="Arial" w:cs="Arial"/>
          <w:sz w:val="22"/>
          <w:szCs w:val="22"/>
        </w:rPr>
        <w:t>É a orientação.</w:t>
      </w:r>
    </w:p>
    <w:p w14:paraId="012AFE73" w14:textId="77777777" w:rsidR="006A1F46" w:rsidRDefault="006A1F46" w:rsidP="00BF635C">
      <w:pPr>
        <w:tabs>
          <w:tab w:val="left" w:pos="851"/>
        </w:tabs>
        <w:ind w:firstLine="851"/>
        <w:jc w:val="both"/>
        <w:rPr>
          <w:rFonts w:ascii="Arial" w:hAnsi="Arial" w:cs="Arial"/>
          <w:sz w:val="22"/>
          <w:szCs w:val="22"/>
        </w:rPr>
      </w:pPr>
    </w:p>
    <w:p w14:paraId="54EFF2B1" w14:textId="77777777" w:rsidR="006A1F46" w:rsidRPr="009B6276" w:rsidRDefault="006A1F46" w:rsidP="00BF635C">
      <w:pPr>
        <w:tabs>
          <w:tab w:val="left" w:pos="851"/>
        </w:tabs>
        <w:ind w:firstLine="851"/>
        <w:jc w:val="both"/>
        <w:rPr>
          <w:rFonts w:ascii="Arial" w:hAnsi="Arial" w:cs="Arial"/>
          <w:sz w:val="22"/>
          <w:szCs w:val="22"/>
        </w:rPr>
      </w:pPr>
    </w:p>
    <w:sectPr w:rsidR="006A1F46" w:rsidRPr="009B6276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851" w:bottom="1560" w:left="1418" w:header="426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5AEA" w14:textId="77777777" w:rsidR="00B042B4" w:rsidRDefault="00B042B4">
      <w:r>
        <w:separator/>
      </w:r>
    </w:p>
  </w:endnote>
  <w:endnote w:type="continuationSeparator" w:id="0">
    <w:p w14:paraId="5C8D9AD1" w14:textId="77777777" w:rsidR="00B042B4" w:rsidRDefault="00B042B4">
      <w:r>
        <w:continuationSeparator/>
      </w:r>
    </w:p>
  </w:endnote>
  <w:endnote w:type="continuationNotice" w:id="1">
    <w:p w14:paraId="2585EDB8" w14:textId="77777777" w:rsidR="00B042B4" w:rsidRDefault="00B042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0A44" w14:textId="77777777" w:rsidR="004B2BF5" w:rsidRDefault="00FB45E7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BCC6EB" w14:textId="77777777" w:rsidR="004B2BF5" w:rsidRDefault="004B2B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0" w:type="dxa"/>
      <w:tblLook w:val="04A0" w:firstRow="1" w:lastRow="0" w:firstColumn="1" w:lastColumn="0" w:noHBand="0" w:noVBand="1"/>
    </w:tblPr>
    <w:tblGrid>
      <w:gridCol w:w="7655"/>
      <w:gridCol w:w="2255"/>
    </w:tblGrid>
    <w:tr w:rsidR="00C96140" w:rsidRPr="00F859D7" w14:paraId="7A755563" w14:textId="77777777">
      <w:trPr>
        <w:trHeight w:val="291"/>
      </w:trPr>
      <w:tc>
        <w:tcPr>
          <w:tcW w:w="7655" w:type="dxa"/>
        </w:tcPr>
        <w:p w14:paraId="76E41E64" w14:textId="77777777" w:rsidR="004B2BF5" w:rsidRPr="00F859D7" w:rsidRDefault="00FB45E7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F859D7">
            <w:rPr>
              <w:rFonts w:ascii="Arial" w:hAnsi="Arial" w:cs="Arial"/>
              <w:sz w:val="16"/>
              <w:szCs w:val="16"/>
            </w:rPr>
            <w:t xml:space="preserve">Rod. José Carlos </w:t>
          </w:r>
          <w:proofErr w:type="spellStart"/>
          <w:r w:rsidRPr="00F859D7">
            <w:rPr>
              <w:rFonts w:ascii="Arial" w:hAnsi="Arial" w:cs="Arial"/>
              <w:sz w:val="16"/>
              <w:szCs w:val="16"/>
            </w:rPr>
            <w:t>Daux</w:t>
          </w:r>
          <w:proofErr w:type="spellEnd"/>
          <w:r w:rsidRPr="00F859D7">
            <w:rPr>
              <w:rFonts w:ascii="Arial" w:hAnsi="Arial" w:cs="Arial"/>
              <w:sz w:val="16"/>
              <w:szCs w:val="16"/>
            </w:rPr>
            <w:t>, 5500 - Saco Grande, Florianópolis - SC, 88032-005</w:t>
          </w:r>
        </w:p>
        <w:p w14:paraId="286EE3BB" w14:textId="77777777" w:rsidR="004B2BF5" w:rsidRPr="00F859D7" w:rsidRDefault="00FB45E7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F859D7">
            <w:rPr>
              <w:rFonts w:ascii="Arial" w:hAnsi="Arial" w:cs="Arial"/>
              <w:sz w:val="16"/>
              <w:szCs w:val="16"/>
            </w:rPr>
            <w:t>SC 401 Square Corporate – CFL – Torre Campeche B, 3º andar, sala 323</w:t>
          </w:r>
        </w:p>
        <w:p w14:paraId="41234B16" w14:textId="77777777" w:rsidR="004B2BF5" w:rsidRPr="00F859D7" w:rsidRDefault="00FB45E7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F859D7">
            <w:rPr>
              <w:rFonts w:ascii="Arial" w:hAnsi="Arial" w:cs="Arial"/>
              <w:sz w:val="16"/>
              <w:szCs w:val="16"/>
            </w:rPr>
            <w:t>Fone: (48) 3664-5720 - E-mail:</w:t>
          </w:r>
          <w:r w:rsidRPr="00F859D7">
            <w:rPr>
              <w:sz w:val="16"/>
              <w:szCs w:val="16"/>
            </w:rPr>
            <w:t xml:space="preserve"> </w:t>
          </w:r>
          <w:hyperlink r:id="rId1" w:history="1">
            <w:r w:rsidRPr="00F859D7">
              <w:rPr>
                <w:rStyle w:val="Hyperlink"/>
                <w:rFonts w:ascii="Arial" w:hAnsi="Arial" w:cs="Arial"/>
                <w:sz w:val="16"/>
                <w:szCs w:val="16"/>
              </w:rPr>
              <w:t>cgesc@cge.sc.gov.br</w:t>
            </w:r>
          </w:hyperlink>
        </w:p>
      </w:tc>
      <w:tc>
        <w:tcPr>
          <w:tcW w:w="2255" w:type="dxa"/>
        </w:tcPr>
        <w:p w14:paraId="02044FC8" w14:textId="77777777" w:rsidR="004B2BF5" w:rsidRPr="00F859D7" w:rsidRDefault="00FB45E7">
          <w:pPr>
            <w:jc w:val="center"/>
            <w:rPr>
              <w:rFonts w:ascii="Arial" w:hAnsi="Arial" w:cs="Arial"/>
              <w:color w:val="0000FF"/>
              <w:sz w:val="16"/>
              <w:szCs w:val="16"/>
              <w:u w:val="single"/>
            </w:rPr>
          </w:pPr>
          <w:r w:rsidRPr="00B861F8">
            <w:rPr>
              <w:noProof/>
            </w:rPr>
            <w:object w:dxaOrig="18373" w:dyaOrig="7456" w14:anchorId="1DF888D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8.5pt;height:40.5pt">
                <v:imagedata r:id="rId2" o:title=""/>
              </v:shape>
              <o:OLEObject Type="Embed" ProgID="PBrush" ShapeID="_x0000_i1025" DrawAspect="Content" ObjectID="_1801316620" r:id="rId3"/>
            </w:object>
          </w:r>
        </w:p>
      </w:tc>
    </w:tr>
  </w:tbl>
  <w:p w14:paraId="0259BDD8" w14:textId="614C906C" w:rsidR="004B2BF5" w:rsidRPr="00E07FEB" w:rsidRDefault="00FB45E7">
    <w:pPr>
      <w:pStyle w:val="Rodap"/>
      <w:jc w:val="center"/>
      <w:rPr>
        <w:rFonts w:ascii="Arial" w:hAnsi="Arial" w:cs="Arial"/>
      </w:rPr>
    </w:pPr>
    <w:r w:rsidRPr="00A0421F">
      <w:rPr>
        <w:rFonts w:ascii="Arial" w:hAnsi="Arial" w:cs="Arial"/>
      </w:rPr>
      <w:t xml:space="preserve">Página </w:t>
    </w:r>
    <w:r w:rsidRPr="00A0421F">
      <w:rPr>
        <w:rFonts w:ascii="Arial" w:hAnsi="Arial" w:cs="Arial"/>
        <w:b/>
        <w:bCs/>
      </w:rPr>
      <w:fldChar w:fldCharType="begin"/>
    </w:r>
    <w:r w:rsidRPr="00A0421F">
      <w:rPr>
        <w:rFonts w:ascii="Arial" w:hAnsi="Arial" w:cs="Arial"/>
        <w:b/>
        <w:bCs/>
      </w:rPr>
      <w:instrText>PAGE</w:instrText>
    </w:r>
    <w:r w:rsidRPr="00A0421F">
      <w:rPr>
        <w:rFonts w:ascii="Arial" w:hAnsi="Arial" w:cs="Arial"/>
        <w:b/>
        <w:bCs/>
      </w:rPr>
      <w:fldChar w:fldCharType="separate"/>
    </w:r>
    <w:r w:rsidR="00631C68">
      <w:rPr>
        <w:rFonts w:ascii="Arial" w:hAnsi="Arial" w:cs="Arial"/>
        <w:b/>
        <w:bCs/>
        <w:noProof/>
      </w:rPr>
      <w:t>3</w:t>
    </w:r>
    <w:r w:rsidRPr="00A0421F">
      <w:rPr>
        <w:rFonts w:ascii="Arial" w:hAnsi="Arial" w:cs="Arial"/>
        <w:b/>
        <w:bCs/>
      </w:rPr>
      <w:fldChar w:fldCharType="end"/>
    </w:r>
    <w:r w:rsidRPr="00A0421F">
      <w:rPr>
        <w:rFonts w:ascii="Arial" w:hAnsi="Arial" w:cs="Arial"/>
      </w:rPr>
      <w:t xml:space="preserve"> de </w:t>
    </w:r>
    <w:r w:rsidRPr="00A0421F">
      <w:rPr>
        <w:rFonts w:ascii="Arial" w:hAnsi="Arial" w:cs="Arial"/>
        <w:b/>
        <w:bCs/>
      </w:rPr>
      <w:fldChar w:fldCharType="begin"/>
    </w:r>
    <w:r w:rsidRPr="00A0421F">
      <w:rPr>
        <w:rFonts w:ascii="Arial" w:hAnsi="Arial" w:cs="Arial"/>
        <w:b/>
        <w:bCs/>
      </w:rPr>
      <w:instrText>NUMPAGES</w:instrText>
    </w:r>
    <w:r w:rsidRPr="00A0421F">
      <w:rPr>
        <w:rFonts w:ascii="Arial" w:hAnsi="Arial" w:cs="Arial"/>
        <w:b/>
        <w:bCs/>
      </w:rPr>
      <w:fldChar w:fldCharType="separate"/>
    </w:r>
    <w:r w:rsidR="00631C68">
      <w:rPr>
        <w:rFonts w:ascii="Arial" w:hAnsi="Arial" w:cs="Arial"/>
        <w:b/>
        <w:bCs/>
        <w:noProof/>
      </w:rPr>
      <w:t>3</w:t>
    </w:r>
    <w:r w:rsidRPr="00A0421F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475C" w14:textId="77777777" w:rsidR="00B042B4" w:rsidRDefault="00B042B4">
      <w:r>
        <w:separator/>
      </w:r>
    </w:p>
  </w:footnote>
  <w:footnote w:type="continuationSeparator" w:id="0">
    <w:p w14:paraId="548F388D" w14:textId="77777777" w:rsidR="00B042B4" w:rsidRDefault="00B042B4">
      <w:r>
        <w:continuationSeparator/>
      </w:r>
    </w:p>
  </w:footnote>
  <w:footnote w:type="continuationNotice" w:id="1">
    <w:p w14:paraId="6A745E7B" w14:textId="77777777" w:rsidR="00B042B4" w:rsidRDefault="00B042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Ind w:w="-1026" w:type="dxa"/>
      <w:tblLayout w:type="fixed"/>
      <w:tblLook w:val="04A0" w:firstRow="1" w:lastRow="0" w:firstColumn="1" w:lastColumn="0" w:noHBand="0" w:noVBand="1"/>
    </w:tblPr>
    <w:tblGrid>
      <w:gridCol w:w="992"/>
      <w:gridCol w:w="9780"/>
    </w:tblGrid>
    <w:tr w:rsidR="00C96140" w:rsidRPr="002D16F8" w14:paraId="26C703B2" w14:textId="77777777">
      <w:tc>
        <w:tcPr>
          <w:tcW w:w="992" w:type="dxa"/>
          <w:shd w:val="clear" w:color="auto" w:fill="auto"/>
        </w:tcPr>
        <w:p w14:paraId="46435EAA" w14:textId="77777777" w:rsidR="004B2BF5" w:rsidRPr="002D16F8" w:rsidRDefault="00FB45E7">
          <w:pPr>
            <w:pStyle w:val="Cabealho"/>
            <w:ind w:hanging="48"/>
            <w:jc w:val="center"/>
            <w:rPr>
              <w:sz w:val="22"/>
              <w:szCs w:val="22"/>
            </w:rPr>
          </w:pPr>
          <w:r w:rsidRPr="002D16F8">
            <w:rPr>
              <w:sz w:val="22"/>
              <w:szCs w:val="22"/>
            </w:rPr>
            <w:fldChar w:fldCharType="begin"/>
          </w:r>
          <w:r w:rsidRPr="002D16F8">
            <w:rPr>
              <w:sz w:val="22"/>
              <w:szCs w:val="22"/>
            </w:rPr>
            <w:instrText xml:space="preserve"> INCLUDEPICTURE "https://upload.wikimedia.org/wikipedia/commons/thumb/6/65/Bras%C3%A3o_de_Santa_Catarina.svg/200px-Bras%C3%A3o_de_Santa_Catarina.svg.png" \* MERGEFORMATINET </w:instrText>
          </w:r>
          <w:r w:rsidRPr="002D16F8">
            <w:rPr>
              <w:sz w:val="22"/>
              <w:szCs w:val="22"/>
            </w:rPr>
            <w:fldChar w:fldCharType="separate"/>
          </w:r>
          <w:r w:rsidRPr="002D16F8">
            <w:rPr>
              <w:sz w:val="22"/>
              <w:szCs w:val="22"/>
            </w:rPr>
            <w:fldChar w:fldCharType="begin"/>
          </w:r>
          <w:r w:rsidRPr="002D16F8">
            <w:rPr>
              <w:sz w:val="22"/>
              <w:szCs w:val="22"/>
            </w:rPr>
            <w:instrText xml:space="preserve"> INCLUDEPICTURE  "https://upload.wikimedia.org/wikipedia/commons/thumb/6/65/Bras%C3%A3o_de_Santa_Catarina.svg/200px-Bras%C3%A3o_de_Santa_Catarina.svg.png" \* MERGEFORMATINET </w:instrText>
          </w:r>
          <w:r w:rsidRPr="002D16F8">
            <w:rPr>
              <w:sz w:val="22"/>
              <w:szCs w:val="22"/>
            </w:rPr>
            <w:fldChar w:fldCharType="separate"/>
          </w:r>
          <w:r w:rsidRPr="002D16F8">
            <w:rPr>
              <w:sz w:val="22"/>
              <w:szCs w:val="22"/>
            </w:rPr>
            <w:fldChar w:fldCharType="begin"/>
          </w:r>
          <w:r w:rsidRPr="002D16F8">
            <w:rPr>
              <w:sz w:val="22"/>
              <w:szCs w:val="22"/>
            </w:rPr>
            <w:instrText xml:space="preserve"> INCLUDEPICTURE  "https://upload.wikimedia.org/wikipedia/commons/thumb/6/65/Bras%C3%A3o_de_Santa_Catarina.svg/200px-Bras%C3%A3o_de_Santa_Catarina.svg.png" \* MERGEFORMATINET </w:instrText>
          </w:r>
          <w:r w:rsidRPr="002D16F8">
            <w:rPr>
              <w:sz w:val="22"/>
              <w:szCs w:val="22"/>
            </w:rPr>
            <w:fldChar w:fldCharType="separate"/>
          </w:r>
          <w:r w:rsidRPr="002D16F8">
            <w:rPr>
              <w:sz w:val="22"/>
              <w:szCs w:val="22"/>
            </w:rPr>
            <w:fldChar w:fldCharType="begin"/>
          </w:r>
          <w:r w:rsidRPr="002D16F8">
            <w:rPr>
              <w:sz w:val="22"/>
              <w:szCs w:val="22"/>
            </w:rPr>
            <w:instrText xml:space="preserve"> INCLUDEPICTURE  "https://upload.wikimedia.org/wikipedia/commons/thumb/6/65/Bras%C3%A3o_de_Santa_Catarina.svg/200px-Bras%C3%A3o_de_Santa_Catarina.svg.png" \* MERGEFORMATINET </w:instrText>
          </w:r>
          <w:r w:rsidRPr="002D16F8">
            <w:rPr>
              <w:sz w:val="22"/>
              <w:szCs w:val="22"/>
            </w:rPr>
            <w:fldChar w:fldCharType="separate"/>
          </w:r>
          <w:r w:rsidRPr="002D16F8">
            <w:rPr>
              <w:sz w:val="22"/>
              <w:szCs w:val="22"/>
            </w:rPr>
            <w:fldChar w:fldCharType="begin"/>
          </w:r>
          <w:r w:rsidRPr="002D16F8">
            <w:rPr>
              <w:sz w:val="22"/>
              <w:szCs w:val="22"/>
            </w:rPr>
            <w:instrText xml:space="preserve"> INCLUDEPICTURE  "https://upload.wikimedia.org/wikipedia/commons/thumb/6/65/Bras%C3%A3o_de_Santa_Catarina.svg/200px-Bras%C3%A3o_de_Santa_Catarina.svg.png" \* MERGEFORMATINET </w:instrText>
          </w:r>
          <w:r w:rsidRPr="002D16F8">
            <w:rPr>
              <w:sz w:val="22"/>
              <w:szCs w:val="22"/>
            </w:rPr>
            <w:fldChar w:fldCharType="separate"/>
          </w:r>
          <w:r w:rsidRPr="002D16F8">
            <w:rPr>
              <w:sz w:val="22"/>
              <w:szCs w:val="22"/>
            </w:rPr>
            <w:fldChar w:fldCharType="begin"/>
          </w:r>
          <w:r w:rsidRPr="002D16F8">
            <w:rPr>
              <w:sz w:val="22"/>
              <w:szCs w:val="22"/>
            </w:rPr>
            <w:instrText xml:space="preserve"> INCLUDEPICTURE  "https://upload.wikimedia.org/wikipedia/commons/thumb/6/65/Bras%C3%A3o_de_Santa_Catarina.svg/200px-Bras%C3%A3o_de_Santa_Catarina.svg.png" \* MERGEFORMATINET </w:instrText>
          </w:r>
          <w:r w:rsidRPr="002D16F8">
            <w:rPr>
              <w:sz w:val="22"/>
              <w:szCs w:val="22"/>
            </w:rPr>
            <w:fldChar w:fldCharType="separate"/>
          </w:r>
          <w:r w:rsidRPr="002D16F8">
            <w:rPr>
              <w:sz w:val="22"/>
              <w:szCs w:val="22"/>
            </w:rPr>
            <w:fldChar w:fldCharType="begin"/>
          </w:r>
          <w:r w:rsidRPr="002D16F8">
            <w:rPr>
              <w:sz w:val="22"/>
              <w:szCs w:val="22"/>
            </w:rPr>
            <w:instrText xml:space="preserve"> INCLUDEPICTURE  "https://upload.wikimedia.org/wikipedia/commons/thumb/6/65/Bras%C3%A3o_de_Santa_Catarina.svg/200px-Bras%C3%A3o_de_Santa_Catarina.svg.png" \* MERGEFORMATINET </w:instrText>
          </w:r>
          <w:r w:rsidRPr="002D16F8">
            <w:rPr>
              <w:sz w:val="22"/>
              <w:szCs w:val="22"/>
            </w:rPr>
            <w:fldChar w:fldCharType="separate"/>
          </w:r>
          <w:r w:rsidRPr="002D16F8">
            <w:rPr>
              <w:noProof/>
              <w:sz w:val="22"/>
              <w:szCs w:val="22"/>
            </w:rPr>
            <w:drawing>
              <wp:inline distT="0" distB="0" distL="0" distR="0" wp14:anchorId="1C808271" wp14:editId="0918F841">
                <wp:extent cx="457200" cy="492125"/>
                <wp:effectExtent l="0" t="0" r="0" b="0"/>
                <wp:docPr id="1" name="Imagem 1" descr="Resultado de imagem para brasÃ£o estado s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brasÃ£o estado sc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D16F8">
            <w:rPr>
              <w:sz w:val="22"/>
              <w:szCs w:val="22"/>
            </w:rPr>
            <w:fldChar w:fldCharType="end"/>
          </w:r>
          <w:r w:rsidRPr="002D16F8">
            <w:rPr>
              <w:sz w:val="22"/>
              <w:szCs w:val="22"/>
            </w:rPr>
            <w:fldChar w:fldCharType="end"/>
          </w:r>
          <w:r w:rsidRPr="002D16F8">
            <w:rPr>
              <w:sz w:val="22"/>
              <w:szCs w:val="22"/>
            </w:rPr>
            <w:fldChar w:fldCharType="end"/>
          </w:r>
          <w:r w:rsidRPr="002D16F8">
            <w:rPr>
              <w:sz w:val="22"/>
              <w:szCs w:val="22"/>
            </w:rPr>
            <w:fldChar w:fldCharType="end"/>
          </w:r>
          <w:r w:rsidRPr="002D16F8">
            <w:rPr>
              <w:sz w:val="22"/>
              <w:szCs w:val="22"/>
            </w:rPr>
            <w:fldChar w:fldCharType="end"/>
          </w:r>
          <w:r w:rsidRPr="002D16F8">
            <w:rPr>
              <w:sz w:val="22"/>
              <w:szCs w:val="22"/>
            </w:rPr>
            <w:fldChar w:fldCharType="end"/>
          </w:r>
          <w:r w:rsidRPr="002D16F8">
            <w:rPr>
              <w:sz w:val="22"/>
              <w:szCs w:val="22"/>
            </w:rPr>
            <w:fldChar w:fldCharType="end"/>
          </w:r>
        </w:p>
      </w:tc>
      <w:tc>
        <w:tcPr>
          <w:tcW w:w="9780" w:type="dxa"/>
          <w:shd w:val="clear" w:color="auto" w:fill="auto"/>
        </w:tcPr>
        <w:p w14:paraId="219384FD" w14:textId="77777777" w:rsidR="004B2BF5" w:rsidRPr="002D16F8" w:rsidRDefault="00FB45E7">
          <w:pPr>
            <w:pStyle w:val="Cabealho"/>
            <w:rPr>
              <w:rFonts w:ascii="Arial" w:hAnsi="Arial" w:cs="Arial"/>
              <w:b/>
              <w:bCs/>
              <w:sz w:val="22"/>
              <w:szCs w:val="22"/>
            </w:rPr>
          </w:pPr>
          <w:r w:rsidRPr="002D16F8">
            <w:rPr>
              <w:rFonts w:ascii="Arial" w:hAnsi="Arial" w:cs="Arial"/>
              <w:b/>
              <w:bCs/>
              <w:sz w:val="22"/>
              <w:szCs w:val="22"/>
            </w:rPr>
            <w:t>ESTADO DE SANTA CATARINA</w:t>
          </w:r>
        </w:p>
        <w:p w14:paraId="3361A099" w14:textId="77777777" w:rsidR="004B2BF5" w:rsidRPr="002D16F8" w:rsidRDefault="00FB45E7">
          <w:pPr>
            <w:pStyle w:val="Cabealho"/>
            <w:rPr>
              <w:rFonts w:ascii="Arial" w:hAnsi="Arial" w:cs="Arial"/>
              <w:b/>
              <w:bCs/>
              <w:sz w:val="22"/>
              <w:szCs w:val="22"/>
            </w:rPr>
          </w:pPr>
          <w:r w:rsidRPr="002D16F8">
            <w:rPr>
              <w:rFonts w:ascii="Arial" w:hAnsi="Arial" w:cs="Arial"/>
              <w:b/>
              <w:bCs/>
              <w:sz w:val="22"/>
              <w:szCs w:val="22"/>
            </w:rPr>
            <w:t>CONTROLADORIA-GERAL DO ESTADO</w:t>
          </w:r>
        </w:p>
        <w:p w14:paraId="435ADA62" w14:textId="77777777" w:rsidR="004B2BF5" w:rsidRPr="002D16F8" w:rsidRDefault="00FB45E7">
          <w:pPr>
            <w:pStyle w:val="Cabealho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AUDITORIA</w:t>
          </w:r>
          <w:r w:rsidRPr="002D16F8">
            <w:rPr>
              <w:rFonts w:ascii="Arial" w:hAnsi="Arial" w:cs="Arial"/>
              <w:b/>
              <w:bCs/>
              <w:sz w:val="22"/>
              <w:szCs w:val="22"/>
            </w:rPr>
            <w:t>-GERAL DO ESTADO</w:t>
          </w:r>
        </w:p>
        <w:p w14:paraId="0F78C26A" w14:textId="1D8E8D30" w:rsidR="004B2BF5" w:rsidRPr="002D16F8" w:rsidRDefault="00FB45E7">
          <w:pPr>
            <w:pStyle w:val="Cabealho"/>
            <w:rPr>
              <w:rFonts w:ascii="Arial" w:hAnsi="Arial" w:cs="Arial"/>
              <w:b/>
              <w:bCs/>
              <w:sz w:val="22"/>
              <w:szCs w:val="22"/>
            </w:rPr>
          </w:pPr>
          <w:r w:rsidRPr="002D16F8">
            <w:rPr>
              <w:rFonts w:ascii="Arial" w:hAnsi="Arial" w:cs="Arial"/>
              <w:b/>
              <w:bCs/>
              <w:sz w:val="22"/>
              <w:szCs w:val="22"/>
            </w:rPr>
            <w:t xml:space="preserve">GERÊNCIA DE </w:t>
          </w: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AUDITORIA </w:t>
          </w:r>
          <w:r w:rsidR="00BB707C" w:rsidRPr="00BB707C">
            <w:rPr>
              <w:rFonts w:ascii="Arial" w:hAnsi="Arial" w:cs="Arial"/>
              <w:b/>
              <w:bCs/>
              <w:sz w:val="22"/>
              <w:szCs w:val="22"/>
            </w:rPr>
            <w:t>DE RECURSOS ANTECIPADOS</w:t>
          </w:r>
        </w:p>
      </w:tc>
    </w:tr>
  </w:tbl>
  <w:p w14:paraId="3BE59D6E" w14:textId="77777777" w:rsidR="004B2BF5" w:rsidRDefault="004B2BF5">
    <w:pPr>
      <w:jc w:val="both"/>
      <w:rPr>
        <w:rFonts w:ascii="Arial" w:hAnsi="Arial" w:cs="Arial"/>
        <w:bCs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4513" w14:textId="77777777" w:rsidR="004B2BF5" w:rsidRDefault="009D004F">
    <w:pPr>
      <w:pStyle w:val="Legenda"/>
      <w:ind w:left="0" w:firstLine="0"/>
      <w:rPr>
        <w:rFonts w:ascii="Arial" w:hAnsi="Arial" w:cs="Arial"/>
        <w:b w:val="0"/>
        <w:bCs/>
        <w:sz w:val="20"/>
      </w:rPr>
    </w:pPr>
    <w:r>
      <w:rPr>
        <w:rFonts w:ascii="Arial" w:hAnsi="Arial" w:cs="Arial"/>
        <w:bCs/>
        <w:noProof/>
        <w:sz w:val="20"/>
      </w:rPr>
      <w:object w:dxaOrig="1440" w:dyaOrig="1440" w14:anchorId="62A76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63.75pt;margin-top:23.95pt;width:63pt;height:56pt;z-index:251658240;mso-wrap-edited:f;mso-position-vertical-relative:page" fillcolor="window">
          <v:imagedata r:id="rId1" o:title="" grayscale="t"/>
          <w10:wrap type="square" anchory="page"/>
        </v:shape>
        <o:OLEObject Type="Embed" ProgID="Word.Picture.8" ShapeID="_x0000_s1025" DrawAspect="Content" ObjectID="_1801316621" r:id="rId2"/>
      </w:object>
    </w:r>
    <w:r w:rsidR="00FB45E7">
      <w:rPr>
        <w:rFonts w:ascii="Arial" w:hAnsi="Arial" w:cs="Arial"/>
        <w:b w:val="0"/>
        <w:bCs/>
        <w:sz w:val="20"/>
      </w:rPr>
      <w:t>ESTADO DE SANTA CATARINA</w:t>
    </w:r>
  </w:p>
  <w:p w14:paraId="47B7C6D0" w14:textId="77777777" w:rsidR="004B2BF5" w:rsidRDefault="00FB45E7">
    <w:pPr>
      <w:jc w:val="both"/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>SECRETARIA DE ESTADO DA FAZENDA</w:t>
    </w:r>
  </w:p>
  <w:p w14:paraId="7052FC64" w14:textId="77777777" w:rsidR="004B2BF5" w:rsidRDefault="00FB45E7">
    <w:pPr>
      <w:jc w:val="both"/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>DIRETORIA DE AUDITORIA GERAL</w:t>
    </w:r>
  </w:p>
  <w:p w14:paraId="3AA97892" w14:textId="77777777" w:rsidR="004B2BF5" w:rsidRDefault="00FB45E7">
    <w:pPr>
      <w:pStyle w:val="Cabealho"/>
      <w:tabs>
        <w:tab w:val="clear" w:pos="4419"/>
        <w:tab w:val="clear" w:pos="8838"/>
      </w:tabs>
      <w:rPr>
        <w:rFonts w:ascii="Arial" w:hAnsi="Arial" w:cs="Arial"/>
      </w:rPr>
    </w:pPr>
    <w:r>
      <w:rPr>
        <w:rFonts w:ascii="Arial" w:hAnsi="Arial" w:cs="Arial"/>
      </w:rPr>
      <w:t>GERÊNCIA DE AUDITORIA XXX</w:t>
    </w:r>
  </w:p>
  <w:p w14:paraId="128356C7" w14:textId="77777777" w:rsidR="004B2BF5" w:rsidRDefault="004B2BF5">
    <w:pPr>
      <w:jc w:val="both"/>
      <w:rPr>
        <w:rFonts w:ascii="Arial" w:hAnsi="Arial" w:cs="Arial"/>
        <w:bCs/>
        <w:sz w:val="20"/>
      </w:rPr>
    </w:pPr>
  </w:p>
  <w:p w14:paraId="53A4CCAF" w14:textId="77777777" w:rsidR="004B2BF5" w:rsidRDefault="004B2BF5">
    <w:pPr>
      <w:jc w:val="both"/>
      <w:rPr>
        <w:rFonts w:ascii="Arial" w:hAnsi="Arial" w:cs="Arial"/>
        <w:bCs/>
        <w:sz w:val="20"/>
      </w:rPr>
    </w:pPr>
  </w:p>
  <w:p w14:paraId="744D3ED8" w14:textId="77777777" w:rsidR="004B2BF5" w:rsidRDefault="004B2BF5">
    <w:pPr>
      <w:jc w:val="both"/>
      <w:rPr>
        <w:rFonts w:ascii="Arial" w:hAnsi="Arial" w:cs="Arial"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373FF"/>
    <w:multiLevelType w:val="hybridMultilevel"/>
    <w:tmpl w:val="6C405718"/>
    <w:lvl w:ilvl="0" w:tplc="EF66D3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E0536F3"/>
    <w:multiLevelType w:val="hybridMultilevel"/>
    <w:tmpl w:val="ACFE2FA8"/>
    <w:lvl w:ilvl="0" w:tplc="E4F667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CB05CA1"/>
    <w:multiLevelType w:val="multilevel"/>
    <w:tmpl w:val="6EE00B5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2027249633">
    <w:abstractNumId w:val="2"/>
  </w:num>
  <w:num w:numId="2" w16cid:durableId="473568780">
    <w:abstractNumId w:val="0"/>
  </w:num>
  <w:num w:numId="3" w16cid:durableId="1504665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528"/>
    <w:rsid w:val="00026251"/>
    <w:rsid w:val="00035CD5"/>
    <w:rsid w:val="00046E94"/>
    <w:rsid w:val="00092A4F"/>
    <w:rsid w:val="000C46F9"/>
    <w:rsid w:val="000C721A"/>
    <w:rsid w:val="000F6369"/>
    <w:rsid w:val="001105C3"/>
    <w:rsid w:val="00111AAB"/>
    <w:rsid w:val="00134867"/>
    <w:rsid w:val="001466A1"/>
    <w:rsid w:val="00155D92"/>
    <w:rsid w:val="00164981"/>
    <w:rsid w:val="0017155B"/>
    <w:rsid w:val="001846B7"/>
    <w:rsid w:val="00190CD4"/>
    <w:rsid w:val="00193739"/>
    <w:rsid w:val="0019407D"/>
    <w:rsid w:val="001A426C"/>
    <w:rsid w:val="001B128A"/>
    <w:rsid w:val="001E423F"/>
    <w:rsid w:val="001F7A33"/>
    <w:rsid w:val="00233DFA"/>
    <w:rsid w:val="00237EDA"/>
    <w:rsid w:val="00245933"/>
    <w:rsid w:val="002606C7"/>
    <w:rsid w:val="002707BE"/>
    <w:rsid w:val="00290063"/>
    <w:rsid w:val="00293847"/>
    <w:rsid w:val="002A59C2"/>
    <w:rsid w:val="002A6C1D"/>
    <w:rsid w:val="002B211D"/>
    <w:rsid w:val="002B3298"/>
    <w:rsid w:val="002D659C"/>
    <w:rsid w:val="002E7F10"/>
    <w:rsid w:val="00321ABA"/>
    <w:rsid w:val="003743B3"/>
    <w:rsid w:val="00390FC4"/>
    <w:rsid w:val="003A7063"/>
    <w:rsid w:val="003A706B"/>
    <w:rsid w:val="003B0AE0"/>
    <w:rsid w:val="003B58A0"/>
    <w:rsid w:val="003E2733"/>
    <w:rsid w:val="003E327B"/>
    <w:rsid w:val="003F259A"/>
    <w:rsid w:val="00411050"/>
    <w:rsid w:val="00412DF8"/>
    <w:rsid w:val="00413043"/>
    <w:rsid w:val="004477E1"/>
    <w:rsid w:val="004526FC"/>
    <w:rsid w:val="004836EF"/>
    <w:rsid w:val="004A6775"/>
    <w:rsid w:val="004B2BF5"/>
    <w:rsid w:val="004C745E"/>
    <w:rsid w:val="004E51FC"/>
    <w:rsid w:val="004E5BC6"/>
    <w:rsid w:val="004E62EF"/>
    <w:rsid w:val="004E6F7A"/>
    <w:rsid w:val="0051260A"/>
    <w:rsid w:val="00525997"/>
    <w:rsid w:val="00527E2A"/>
    <w:rsid w:val="00536D69"/>
    <w:rsid w:val="00552AB2"/>
    <w:rsid w:val="00556B5C"/>
    <w:rsid w:val="00560909"/>
    <w:rsid w:val="005646AB"/>
    <w:rsid w:val="005656CA"/>
    <w:rsid w:val="0056658C"/>
    <w:rsid w:val="00566E53"/>
    <w:rsid w:val="005B6AF1"/>
    <w:rsid w:val="005C0824"/>
    <w:rsid w:val="005D0B78"/>
    <w:rsid w:val="005E08F2"/>
    <w:rsid w:val="005E221E"/>
    <w:rsid w:val="005E2899"/>
    <w:rsid w:val="005E73A3"/>
    <w:rsid w:val="005F2F6F"/>
    <w:rsid w:val="005F7284"/>
    <w:rsid w:val="00616A57"/>
    <w:rsid w:val="00631C68"/>
    <w:rsid w:val="00645FBC"/>
    <w:rsid w:val="006519A4"/>
    <w:rsid w:val="0065304F"/>
    <w:rsid w:val="006553F4"/>
    <w:rsid w:val="00673A1F"/>
    <w:rsid w:val="00681BE9"/>
    <w:rsid w:val="0069289D"/>
    <w:rsid w:val="006A1F46"/>
    <w:rsid w:val="006A54BC"/>
    <w:rsid w:val="006C3EF7"/>
    <w:rsid w:val="006D09AF"/>
    <w:rsid w:val="006D3E2B"/>
    <w:rsid w:val="006D4BC5"/>
    <w:rsid w:val="006D7436"/>
    <w:rsid w:val="0072263E"/>
    <w:rsid w:val="00723535"/>
    <w:rsid w:val="00725992"/>
    <w:rsid w:val="0072678B"/>
    <w:rsid w:val="0073143F"/>
    <w:rsid w:val="00744234"/>
    <w:rsid w:val="0075262C"/>
    <w:rsid w:val="00764F7B"/>
    <w:rsid w:val="007711DF"/>
    <w:rsid w:val="00795C80"/>
    <w:rsid w:val="007B3A14"/>
    <w:rsid w:val="007C151C"/>
    <w:rsid w:val="007C6C9E"/>
    <w:rsid w:val="007D1520"/>
    <w:rsid w:val="007E1A7D"/>
    <w:rsid w:val="007E2076"/>
    <w:rsid w:val="007F1BC6"/>
    <w:rsid w:val="00804162"/>
    <w:rsid w:val="008233C9"/>
    <w:rsid w:val="00823A90"/>
    <w:rsid w:val="00827788"/>
    <w:rsid w:val="00827EA0"/>
    <w:rsid w:val="00837D8D"/>
    <w:rsid w:val="00840817"/>
    <w:rsid w:val="00845B10"/>
    <w:rsid w:val="00846987"/>
    <w:rsid w:val="0085039C"/>
    <w:rsid w:val="008510FA"/>
    <w:rsid w:val="00860929"/>
    <w:rsid w:val="00866232"/>
    <w:rsid w:val="00881871"/>
    <w:rsid w:val="00883E23"/>
    <w:rsid w:val="008C1285"/>
    <w:rsid w:val="008C4241"/>
    <w:rsid w:val="009274BF"/>
    <w:rsid w:val="00933082"/>
    <w:rsid w:val="00965322"/>
    <w:rsid w:val="009741BD"/>
    <w:rsid w:val="00974202"/>
    <w:rsid w:val="00994304"/>
    <w:rsid w:val="009A0CFD"/>
    <w:rsid w:val="009A1CEE"/>
    <w:rsid w:val="009A3264"/>
    <w:rsid w:val="009B2493"/>
    <w:rsid w:val="009B6276"/>
    <w:rsid w:val="009D004F"/>
    <w:rsid w:val="009D3338"/>
    <w:rsid w:val="009F1AAA"/>
    <w:rsid w:val="009F3AA7"/>
    <w:rsid w:val="00A11F65"/>
    <w:rsid w:val="00A211EB"/>
    <w:rsid w:val="00A40DF0"/>
    <w:rsid w:val="00A5306D"/>
    <w:rsid w:val="00A56528"/>
    <w:rsid w:val="00A61CDD"/>
    <w:rsid w:val="00A61D6A"/>
    <w:rsid w:val="00A630A2"/>
    <w:rsid w:val="00A64290"/>
    <w:rsid w:val="00A82089"/>
    <w:rsid w:val="00A91B93"/>
    <w:rsid w:val="00A96318"/>
    <w:rsid w:val="00A96378"/>
    <w:rsid w:val="00AA445C"/>
    <w:rsid w:val="00AA4985"/>
    <w:rsid w:val="00AD3001"/>
    <w:rsid w:val="00AD3E63"/>
    <w:rsid w:val="00AD4B9C"/>
    <w:rsid w:val="00AD706C"/>
    <w:rsid w:val="00AE48DD"/>
    <w:rsid w:val="00AF480D"/>
    <w:rsid w:val="00B042B4"/>
    <w:rsid w:val="00B054DD"/>
    <w:rsid w:val="00B1190C"/>
    <w:rsid w:val="00B136EA"/>
    <w:rsid w:val="00B21EB4"/>
    <w:rsid w:val="00B40E99"/>
    <w:rsid w:val="00B66FD8"/>
    <w:rsid w:val="00B67C99"/>
    <w:rsid w:val="00B7228E"/>
    <w:rsid w:val="00B81A09"/>
    <w:rsid w:val="00B86644"/>
    <w:rsid w:val="00BA1B04"/>
    <w:rsid w:val="00BB2CC3"/>
    <w:rsid w:val="00BB57DC"/>
    <w:rsid w:val="00BB707C"/>
    <w:rsid w:val="00BF635C"/>
    <w:rsid w:val="00C006A3"/>
    <w:rsid w:val="00C0428A"/>
    <w:rsid w:val="00C06839"/>
    <w:rsid w:val="00C06878"/>
    <w:rsid w:val="00C12366"/>
    <w:rsid w:val="00C22D5F"/>
    <w:rsid w:val="00C31C98"/>
    <w:rsid w:val="00C43E0B"/>
    <w:rsid w:val="00C635CB"/>
    <w:rsid w:val="00C763B8"/>
    <w:rsid w:val="00C8777A"/>
    <w:rsid w:val="00C9033D"/>
    <w:rsid w:val="00C9330F"/>
    <w:rsid w:val="00C96140"/>
    <w:rsid w:val="00CA236D"/>
    <w:rsid w:val="00CB38FD"/>
    <w:rsid w:val="00CB6720"/>
    <w:rsid w:val="00CD4158"/>
    <w:rsid w:val="00CE27B5"/>
    <w:rsid w:val="00CE3419"/>
    <w:rsid w:val="00CF2E0F"/>
    <w:rsid w:val="00D0463D"/>
    <w:rsid w:val="00D12C2C"/>
    <w:rsid w:val="00D12CCD"/>
    <w:rsid w:val="00D63A06"/>
    <w:rsid w:val="00D91B37"/>
    <w:rsid w:val="00D921CF"/>
    <w:rsid w:val="00DC4CE5"/>
    <w:rsid w:val="00DD513E"/>
    <w:rsid w:val="00DE4561"/>
    <w:rsid w:val="00DE69CC"/>
    <w:rsid w:val="00E00D98"/>
    <w:rsid w:val="00E00EB1"/>
    <w:rsid w:val="00E23C15"/>
    <w:rsid w:val="00E66EA8"/>
    <w:rsid w:val="00EB0BAE"/>
    <w:rsid w:val="00EB477B"/>
    <w:rsid w:val="00EC4A8C"/>
    <w:rsid w:val="00EE507C"/>
    <w:rsid w:val="00EF4AEA"/>
    <w:rsid w:val="00F0294B"/>
    <w:rsid w:val="00F063B4"/>
    <w:rsid w:val="00F114D0"/>
    <w:rsid w:val="00F14731"/>
    <w:rsid w:val="00F71007"/>
    <w:rsid w:val="00F749EE"/>
    <w:rsid w:val="00F83C95"/>
    <w:rsid w:val="00F92680"/>
    <w:rsid w:val="00F95FF5"/>
    <w:rsid w:val="00F97C9B"/>
    <w:rsid w:val="00F97F8D"/>
    <w:rsid w:val="00FB45E7"/>
    <w:rsid w:val="00FC0DDD"/>
    <w:rsid w:val="00FC5815"/>
    <w:rsid w:val="00FC5A6A"/>
    <w:rsid w:val="00FD1577"/>
    <w:rsid w:val="00FE4E68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27E86"/>
  <w15:chartTrackingRefBased/>
  <w15:docId w15:val="{27B35BFC-6CF5-4291-B3D2-09D861E5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5652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A5652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A56528"/>
  </w:style>
  <w:style w:type="paragraph" w:styleId="Rodap">
    <w:name w:val="footer"/>
    <w:basedOn w:val="Normal"/>
    <w:link w:val="RodapChar"/>
    <w:uiPriority w:val="99"/>
    <w:rsid w:val="00A5652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A565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A56528"/>
    <w:pPr>
      <w:ind w:left="708" w:firstLine="708"/>
      <w:jc w:val="both"/>
    </w:pPr>
    <w:rPr>
      <w:rFonts w:ascii="Tahoma" w:hAnsi="Tahoma"/>
      <w:b/>
      <w:sz w:val="18"/>
    </w:rPr>
  </w:style>
  <w:style w:type="paragraph" w:customStyle="1" w:styleId="ListaColorida-nfase11">
    <w:name w:val="Lista Colorida - Ênfase 11"/>
    <w:basedOn w:val="Normal"/>
    <w:uiPriority w:val="34"/>
    <w:qFormat/>
    <w:rsid w:val="00A565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A56528"/>
    <w:rPr>
      <w:color w:val="0000FF"/>
      <w:u w:val="single"/>
    </w:rPr>
  </w:style>
  <w:style w:type="paragraph" w:customStyle="1" w:styleId="GenStyleDefPar">
    <w:name w:val="GenStyleDefPar"/>
    <w:rsid w:val="00A5652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" w:hAnsi="Arial" w:cs="Arial"/>
      <w:sz w:val="20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08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824"/>
    <w:rPr>
      <w:rFonts w:ascii="Segoe UI" w:eastAsia="Times New Roman" w:hAnsi="Segoe UI" w:cs="Segoe UI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C8777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8777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C8777A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B21E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1EB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1E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1E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1EB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C4A8C"/>
    <w:pPr>
      <w:ind w:left="720"/>
      <w:contextualSpacing/>
    </w:pPr>
  </w:style>
  <w:style w:type="paragraph" w:styleId="Reviso">
    <w:name w:val="Revision"/>
    <w:hidden/>
    <w:uiPriority w:val="99"/>
    <w:semiHidden/>
    <w:rsid w:val="00CE3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hyperlink" Target="mailto:cgesc@cge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5D67F3967264DA1D0925F5D694320" ma:contentTypeVersion="15" ma:contentTypeDescription="Create a new document." ma:contentTypeScope="" ma:versionID="b6d0b19f10d12d4bed40d1a6e02d6b84">
  <xsd:schema xmlns:xsd="http://www.w3.org/2001/XMLSchema" xmlns:xs="http://www.w3.org/2001/XMLSchema" xmlns:p="http://schemas.microsoft.com/office/2006/metadata/properties" xmlns:ns2="a9c3394d-1ca5-464c-b335-4e3095043059" xmlns:ns3="c39ab2b2-5da7-4c37-84f4-2fbd70ec8445" targetNamespace="http://schemas.microsoft.com/office/2006/metadata/properties" ma:root="true" ma:fieldsID="7fead15deea8bac6dea57a1c142fa190" ns2:_="" ns3:_="">
    <xsd:import namespace="a9c3394d-1ca5-464c-b335-4e3095043059"/>
    <xsd:import namespace="c39ab2b2-5da7-4c37-84f4-2fbd70ec8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3394d-1ca5-464c-b335-4e3095043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ea3a86-7101-4a8b-b226-8e5e44e662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ab2b2-5da7-4c37-84f4-2fbd70ec8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ac5c452-5ea3-40eb-b869-e0439dff7302}" ma:internalName="TaxCatchAll" ma:showField="CatchAllData" ma:web="c39ab2b2-5da7-4c37-84f4-2fbd70ec8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3394d-1ca5-464c-b335-4e3095043059">
      <Terms xmlns="http://schemas.microsoft.com/office/infopath/2007/PartnerControls"/>
    </lcf76f155ced4ddcb4097134ff3c332f>
    <TaxCatchAll xmlns="c39ab2b2-5da7-4c37-84f4-2fbd70ec8445" xsi:nil="true"/>
  </documentManagement>
</p:properties>
</file>

<file path=customXml/itemProps1.xml><?xml version="1.0" encoding="utf-8"?>
<ds:datastoreItem xmlns:ds="http://schemas.openxmlformats.org/officeDocument/2006/customXml" ds:itemID="{2B907B52-AD2B-4729-A503-C984C7401B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96036C-A209-4CA0-9A72-D422E86A61E2}"/>
</file>

<file path=customXml/itemProps3.xml><?xml version="1.0" encoding="utf-8"?>
<ds:datastoreItem xmlns:ds="http://schemas.openxmlformats.org/officeDocument/2006/customXml" ds:itemID="{B5997F63-2269-4DF3-93FD-4B82D7E9B857}"/>
</file>

<file path=customXml/itemProps4.xml><?xml version="1.0" encoding="utf-8"?>
<ds:datastoreItem xmlns:ds="http://schemas.openxmlformats.org/officeDocument/2006/customXml" ds:itemID="{557B0A7B-8900-4B52-A85C-8919E97FF2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1235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Links>
    <vt:vector size="6" baseType="variant">
      <vt:variant>
        <vt:i4>7274567</vt:i4>
      </vt:variant>
      <vt:variant>
        <vt:i4>23</vt:i4>
      </vt:variant>
      <vt:variant>
        <vt:i4>0</vt:i4>
      </vt:variant>
      <vt:variant>
        <vt:i4>5</vt:i4>
      </vt:variant>
      <vt:variant>
        <vt:lpwstr>mailto:cgesc@cge.sc.gov.br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Castelli</dc:creator>
  <cp:keywords/>
  <dc:description/>
  <cp:lastModifiedBy>Edson Fernandes Santos Junior</cp:lastModifiedBy>
  <cp:revision>2</cp:revision>
  <dcterms:created xsi:type="dcterms:W3CDTF">2025-02-17T19:57:00Z</dcterms:created>
  <dcterms:modified xsi:type="dcterms:W3CDTF">2025-02-17T19:57:00Z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0x0101001F85D67F3967264DA1D0925F5D694320</vt:lpwstr>
  </property>
</Properties>
</file>